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EA3D81" w:rsidRPr="004E16B9" w:rsidRDefault="002A3A96" w:rsidP="00EA3D81">
      <w:pPr>
        <w:shd w:val="clear" w:color="auto" w:fill="FFFFFF"/>
        <w:tabs>
          <w:tab w:val="left" w:leader="dot" w:pos="9259"/>
          <w:tab w:val="left" w:leader="dot" w:pos="9356"/>
        </w:tabs>
        <w:ind w:left="360"/>
        <w:rPr>
          <w:b/>
          <w:color w:val="000000"/>
          <w:spacing w:val="-1"/>
          <w:sz w:val="22"/>
          <w:szCs w:val="22"/>
        </w:rPr>
      </w:pPr>
      <w:r w:rsidRPr="00682359">
        <w:rPr>
          <w:lang w:val="pl-PL"/>
        </w:rPr>
        <w:t xml:space="preserve">Szczegółowa specyfikacja techniczna (SST) stanowi dokument przetargowy i kontraktowy przy zlecaniu i realizacji robót podczas </w:t>
      </w:r>
      <w:r>
        <w:rPr>
          <w:sz w:val="22"/>
          <w:szCs w:val="22"/>
          <w:lang w:val="pl-PL"/>
        </w:rPr>
        <w:t xml:space="preserve">realizacji zadania </w:t>
      </w:r>
      <w:r w:rsidR="00EA3D81">
        <w:rPr>
          <w:sz w:val="22"/>
          <w:szCs w:val="22"/>
          <w:lang w:val="pl-PL"/>
        </w:rPr>
        <w:t xml:space="preserve">: </w:t>
      </w:r>
      <w:proofErr w:type="spellStart"/>
      <w:r w:rsidR="00EA3D81">
        <w:rPr>
          <w:b/>
          <w:color w:val="000000"/>
          <w:spacing w:val="-1"/>
        </w:rPr>
        <w:t>n</w:t>
      </w:r>
      <w:r w:rsidR="00EA3D81" w:rsidRPr="004E16B9">
        <w:rPr>
          <w:b/>
          <w:color w:val="000000"/>
          <w:spacing w:val="-1"/>
          <w:sz w:val="22"/>
          <w:szCs w:val="22"/>
        </w:rPr>
        <w:t>apraw</w:t>
      </w:r>
      <w:r w:rsidR="00EA3D81">
        <w:rPr>
          <w:b/>
          <w:color w:val="000000"/>
          <w:spacing w:val="-1"/>
        </w:rPr>
        <w:t>a</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nawierzchni</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drogi</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wojewódzkiej</w:t>
      </w:r>
      <w:proofErr w:type="spellEnd"/>
      <w:r w:rsidR="00EA3D81" w:rsidRPr="004E16B9">
        <w:rPr>
          <w:b/>
          <w:color w:val="000000"/>
          <w:spacing w:val="-1"/>
          <w:sz w:val="22"/>
          <w:szCs w:val="22"/>
        </w:rPr>
        <w:t xml:space="preserve"> Nr 682 </w:t>
      </w:r>
      <w:proofErr w:type="spellStart"/>
      <w:r w:rsidR="00EA3D81" w:rsidRPr="004E16B9">
        <w:rPr>
          <w:b/>
          <w:color w:val="000000"/>
          <w:spacing w:val="-1"/>
          <w:sz w:val="22"/>
          <w:szCs w:val="22"/>
        </w:rPr>
        <w:t>Łapy-Turośń</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Dolna-Markowszczyzna</w:t>
      </w:r>
      <w:proofErr w:type="spellEnd"/>
      <w:r w:rsidR="00EA3D81" w:rsidRPr="004E16B9">
        <w:rPr>
          <w:b/>
          <w:color w:val="000000"/>
          <w:spacing w:val="-1"/>
          <w:sz w:val="22"/>
          <w:szCs w:val="22"/>
        </w:rPr>
        <w:t xml:space="preserve"> w km 0+077 -0+192 </w:t>
      </w:r>
      <w:proofErr w:type="spellStart"/>
      <w:r w:rsidR="00EA3D81" w:rsidRPr="004E16B9">
        <w:rPr>
          <w:b/>
          <w:color w:val="000000"/>
          <w:spacing w:val="-1"/>
          <w:sz w:val="22"/>
          <w:szCs w:val="22"/>
        </w:rPr>
        <w:t>i</w:t>
      </w:r>
      <w:proofErr w:type="spellEnd"/>
      <w:r w:rsidR="00EA3D81" w:rsidRPr="004E16B9">
        <w:rPr>
          <w:b/>
          <w:color w:val="000000"/>
          <w:spacing w:val="-1"/>
          <w:sz w:val="22"/>
          <w:szCs w:val="22"/>
        </w:rPr>
        <w:t xml:space="preserve"> w km 0+799 -  1+042 </w:t>
      </w:r>
      <w:proofErr w:type="spellStart"/>
      <w:r w:rsidR="00EA3D81" w:rsidRPr="004E16B9">
        <w:rPr>
          <w:b/>
          <w:color w:val="000000"/>
          <w:spacing w:val="-1"/>
          <w:sz w:val="22"/>
          <w:szCs w:val="22"/>
        </w:rPr>
        <w:t>oraz</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naprawa</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chodnika</w:t>
      </w:r>
      <w:proofErr w:type="spellEnd"/>
      <w:r w:rsidR="00EA3D81" w:rsidRPr="004E16B9">
        <w:rPr>
          <w:b/>
          <w:color w:val="000000"/>
          <w:spacing w:val="-1"/>
          <w:sz w:val="22"/>
          <w:szCs w:val="22"/>
        </w:rPr>
        <w:t xml:space="preserve"> w </w:t>
      </w:r>
      <w:proofErr w:type="spellStart"/>
      <w:r w:rsidR="00EA3D81" w:rsidRPr="004E16B9">
        <w:rPr>
          <w:b/>
          <w:color w:val="000000"/>
          <w:spacing w:val="-1"/>
          <w:sz w:val="22"/>
          <w:szCs w:val="22"/>
        </w:rPr>
        <w:t>pasie</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drogi</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wojewódzkiej</w:t>
      </w:r>
      <w:proofErr w:type="spellEnd"/>
      <w:r w:rsidR="00EA3D81" w:rsidRPr="004E16B9">
        <w:rPr>
          <w:b/>
          <w:color w:val="000000"/>
          <w:spacing w:val="-1"/>
          <w:sz w:val="22"/>
          <w:szCs w:val="22"/>
        </w:rPr>
        <w:t xml:space="preserve"> Nr 682 w km 0+446 -0+486 </w:t>
      </w:r>
      <w:proofErr w:type="spellStart"/>
      <w:r w:rsidR="00EA3D81" w:rsidRPr="004E16B9">
        <w:rPr>
          <w:b/>
          <w:color w:val="000000"/>
          <w:spacing w:val="-1"/>
          <w:sz w:val="22"/>
          <w:szCs w:val="22"/>
        </w:rPr>
        <w:t>strona</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prawa</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i</w:t>
      </w:r>
      <w:proofErr w:type="spellEnd"/>
      <w:r w:rsidR="00EA3D81" w:rsidRPr="004E16B9">
        <w:rPr>
          <w:b/>
          <w:color w:val="000000"/>
          <w:spacing w:val="-1"/>
          <w:sz w:val="22"/>
          <w:szCs w:val="22"/>
        </w:rPr>
        <w:t xml:space="preserve"> w </w:t>
      </w:r>
      <w:proofErr w:type="spellStart"/>
      <w:r w:rsidR="00EA3D81" w:rsidRPr="004E16B9">
        <w:rPr>
          <w:b/>
          <w:color w:val="000000"/>
          <w:spacing w:val="-1"/>
          <w:sz w:val="22"/>
          <w:szCs w:val="22"/>
        </w:rPr>
        <w:t>pasie</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drogi</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wojewódzkiej</w:t>
      </w:r>
      <w:proofErr w:type="spellEnd"/>
      <w:r w:rsidR="00EA3D81" w:rsidRPr="004E16B9">
        <w:rPr>
          <w:b/>
          <w:color w:val="000000"/>
          <w:spacing w:val="-1"/>
          <w:sz w:val="22"/>
          <w:szCs w:val="22"/>
        </w:rPr>
        <w:t xml:space="preserve"> Nr 681 </w:t>
      </w:r>
      <w:proofErr w:type="spellStart"/>
      <w:r w:rsidR="00EA3D81" w:rsidRPr="004E16B9">
        <w:rPr>
          <w:b/>
          <w:color w:val="000000"/>
          <w:spacing w:val="-1"/>
          <w:sz w:val="22"/>
          <w:szCs w:val="22"/>
        </w:rPr>
        <w:t>Roszki</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Wodźki</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Łapy</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Poświętne</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Brańsk-Ciechanowiec</w:t>
      </w:r>
      <w:proofErr w:type="spellEnd"/>
      <w:r w:rsidR="00EA3D81" w:rsidRPr="004E16B9">
        <w:rPr>
          <w:b/>
          <w:color w:val="000000"/>
          <w:spacing w:val="-1"/>
          <w:sz w:val="22"/>
          <w:szCs w:val="22"/>
        </w:rPr>
        <w:t xml:space="preserve"> w km 6+940 </w:t>
      </w:r>
      <w:proofErr w:type="spellStart"/>
      <w:r w:rsidR="00EA3D81" w:rsidRPr="004E16B9">
        <w:rPr>
          <w:b/>
          <w:color w:val="000000"/>
          <w:spacing w:val="-1"/>
          <w:sz w:val="22"/>
          <w:szCs w:val="22"/>
        </w:rPr>
        <w:t>strona</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prawa</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i</w:t>
      </w:r>
      <w:proofErr w:type="spellEnd"/>
      <w:r w:rsidR="00EA3D81" w:rsidRPr="004E16B9">
        <w:rPr>
          <w:b/>
          <w:color w:val="000000"/>
          <w:spacing w:val="-1"/>
          <w:sz w:val="22"/>
          <w:szCs w:val="22"/>
        </w:rPr>
        <w:t xml:space="preserve"> </w:t>
      </w:r>
      <w:proofErr w:type="spellStart"/>
      <w:r w:rsidR="00EA3D81" w:rsidRPr="004E16B9">
        <w:rPr>
          <w:b/>
          <w:color w:val="000000"/>
          <w:spacing w:val="-1"/>
          <w:sz w:val="22"/>
          <w:szCs w:val="22"/>
        </w:rPr>
        <w:t>lewa</w:t>
      </w:r>
      <w:proofErr w:type="spellEnd"/>
      <w:r w:rsidR="00EA3D81" w:rsidRPr="004E16B9">
        <w:rPr>
          <w:b/>
          <w:color w:val="000000"/>
          <w:spacing w:val="-1"/>
          <w:sz w:val="22"/>
          <w:szCs w:val="22"/>
        </w:rPr>
        <w:t>.</w:t>
      </w:r>
    </w:p>
    <w:p w:rsidR="00B01F1C" w:rsidRDefault="00B01F1C" w:rsidP="002A3A96">
      <w:pPr>
        <w:tabs>
          <w:tab w:val="left" w:pos="0"/>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lastRenderedPageBreak/>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lastRenderedPageBreak/>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lastRenderedPageBreak/>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w:t>
      </w:r>
      <w:r>
        <w:rPr>
          <w:sz w:val="22"/>
          <w:szCs w:val="22"/>
          <w:lang w:val="pl-PL"/>
        </w:rPr>
        <w:lastRenderedPageBreak/>
        <w:t xml:space="preserve">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t>Wytrzymałość</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pPr>
            <w:r>
              <w:rPr>
                <w:rFonts w:ascii="Symbol" w:hAnsi="Symbol"/>
                <w:sz w:val="22"/>
                <w:szCs w:val="22"/>
              </w:rPr>
              <w:t></w:t>
            </w:r>
            <w:r>
              <w:rPr>
                <w:sz w:val="22"/>
                <w:szCs w:val="22"/>
              </w:rPr>
              <w:t xml:space="preserve"> 0,02</w:t>
            </w:r>
          </w:p>
          <w:p w:rsidR="002A3A96" w:rsidRDefault="002A3A96" w:rsidP="007015AD">
            <w:pPr>
              <w:jc w:val="both"/>
            </w:pPr>
            <w:r>
              <w:rPr>
                <w:rFonts w:ascii="Symbol" w:hAnsi="Symbol"/>
                <w:sz w:val="22"/>
                <w:szCs w:val="22"/>
              </w:rPr>
              <w:t></w:t>
            </w:r>
            <w:r>
              <w:rPr>
                <w:sz w:val="22"/>
                <w:szCs w:val="22"/>
              </w:rPr>
              <w:t xml:space="preserve"> 0,11</w:t>
            </w:r>
          </w:p>
          <w:p w:rsidR="002A3A96" w:rsidRDefault="002A3A96" w:rsidP="007015AD">
            <w:pPr>
              <w:jc w:val="both"/>
            </w:pPr>
            <w:r>
              <w:rPr>
                <w:rFonts w:ascii="Symbol" w:hAnsi="Symbol"/>
                <w:sz w:val="22"/>
                <w:szCs w:val="22"/>
              </w:rPr>
              <w:t></w:t>
            </w:r>
            <w:r>
              <w:rPr>
                <w:sz w:val="22"/>
                <w:szCs w:val="22"/>
              </w:rPr>
              <w:t xml:space="preserve"> 0,57</w:t>
            </w:r>
          </w:p>
          <w:p w:rsidR="002A3A96" w:rsidRDefault="002A3A96" w:rsidP="007015AD">
            <w:pPr>
              <w:overflowPunct w:val="0"/>
              <w:autoSpaceDE w:val="0"/>
              <w:jc w:val="both"/>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pPr>
            <w:r>
              <w:rPr>
                <w:sz w:val="22"/>
                <w:szCs w:val="22"/>
              </w:rPr>
              <w:t>TDT1</w:t>
            </w:r>
          </w:p>
          <w:p w:rsidR="002A3A96" w:rsidRDefault="002A3A96" w:rsidP="007015AD">
            <w:pPr>
              <w:jc w:val="both"/>
            </w:pPr>
            <w:r>
              <w:rPr>
                <w:sz w:val="22"/>
                <w:szCs w:val="22"/>
              </w:rPr>
              <w:t>TDT3</w:t>
            </w:r>
          </w:p>
          <w:p w:rsidR="002A3A96" w:rsidRDefault="002A3A96" w:rsidP="007015AD">
            <w:pPr>
              <w:jc w:val="both"/>
            </w:pPr>
            <w:r>
              <w:rPr>
                <w:sz w:val="22"/>
                <w:szCs w:val="22"/>
              </w:rPr>
              <w:t>TDT5</w:t>
            </w:r>
          </w:p>
          <w:p w:rsidR="002A3A96" w:rsidRDefault="002A3A96" w:rsidP="007015AD">
            <w:pPr>
              <w:overflowPunct w:val="0"/>
              <w:autoSpaceDE w:val="0"/>
              <w:jc w:val="both"/>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1</w:t>
            </w:r>
          </w:p>
          <w:p w:rsidR="002A3A96" w:rsidRDefault="002A3A96" w:rsidP="007015AD">
            <w:pPr>
              <w:jc w:val="both"/>
              <w:rPr>
                <w:lang w:val="fr-FR"/>
              </w:rPr>
            </w:pPr>
          </w:p>
          <w:p w:rsidR="002A3A96" w:rsidRDefault="002A3A96" w:rsidP="007015AD">
            <w:pPr>
              <w:jc w:val="both"/>
              <w:rPr>
                <w:lang w:val="fr-FR"/>
              </w:rPr>
            </w:pPr>
          </w:p>
          <w:p w:rsidR="002A3A96" w:rsidRDefault="002A3A96" w:rsidP="007015AD">
            <w:pPr>
              <w:jc w:val="both"/>
              <w:rPr>
                <w:lang w:val="fr-FR"/>
              </w:rPr>
            </w:pPr>
          </w:p>
          <w:p w:rsidR="002A3A96" w:rsidRDefault="002A3A96" w:rsidP="007015AD">
            <w:pPr>
              <w:overflowPunct w:val="0"/>
              <w:autoSpaceDE w:val="0"/>
              <w:jc w:val="both"/>
              <w:rPr>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Cs w:val="22"/>
                <w:lang w:val="pl-PL"/>
              </w:rPr>
            </w:pPr>
            <w:r>
              <w:rPr>
                <w:bCs/>
                <w:sz w:val="22"/>
                <w:szCs w:val="22"/>
                <w:lang w:val="pl-PL"/>
              </w:rPr>
              <w:t>- niebieskiej</w:t>
            </w:r>
          </w:p>
          <w:p w:rsidR="002A3A96" w:rsidRDefault="002A3A96" w:rsidP="007015AD">
            <w:pPr>
              <w:pStyle w:val="Wypunktowanie"/>
              <w:ind w:left="0" w:firstLine="0"/>
              <w:jc w:val="both"/>
              <w:rPr>
                <w:bCs/>
                <w:szCs w:val="22"/>
                <w:lang w:val="pl-PL"/>
              </w:rPr>
            </w:pPr>
            <w:r>
              <w:rPr>
                <w:bCs/>
                <w:sz w:val="22"/>
                <w:szCs w:val="22"/>
                <w:lang w:val="pl-PL"/>
              </w:rPr>
              <w:t>- brązowej</w:t>
            </w:r>
          </w:p>
          <w:p w:rsidR="002A3A96" w:rsidRDefault="002A3A96" w:rsidP="007015AD">
            <w:pPr>
              <w:pStyle w:val="Wypunktowanie"/>
              <w:ind w:left="0" w:firstLine="0"/>
              <w:jc w:val="both"/>
              <w:rPr>
                <w:bCs/>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Cs w:val="22"/>
                <w:lang w:eastAsia="en-US" w:bidi="en-US"/>
              </w:rPr>
            </w:pPr>
          </w:p>
          <w:p w:rsidR="002A3A96" w:rsidRDefault="002A3A96" w:rsidP="007015AD">
            <w:pPr>
              <w:pStyle w:val="Tekstpodstawowy"/>
              <w:spacing w:after="0"/>
              <w:jc w:val="both"/>
              <w:rPr>
                <w:lang w:val="fr-FR" w:eastAsia="en-US" w:bidi="en-US"/>
              </w:rPr>
            </w:pP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Cs w:val="22"/>
                <w:lang w:eastAsia="en-US" w:bidi="en-US"/>
              </w:rPr>
            </w:pPr>
          </w:p>
          <w:p w:rsidR="002A3A96" w:rsidRDefault="002A3A96" w:rsidP="007015AD">
            <w:pPr>
              <w:pStyle w:val="Tekstpodstawowy"/>
              <w:spacing w:after="0"/>
              <w:jc w:val="both"/>
              <w:rPr>
                <w:lang w:val="fr-FR" w:eastAsia="en-US" w:bidi="en-US"/>
              </w:rPr>
            </w:pP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Cs w:val="22"/>
                <w:lang w:val="pl-PL"/>
              </w:rPr>
            </w:pPr>
            <w:r>
              <w:rPr>
                <w:sz w:val="22"/>
                <w:szCs w:val="22"/>
                <w:lang w:val="pl-PL"/>
              </w:rPr>
              <w:t>- brązowej</w:t>
            </w:r>
          </w:p>
          <w:p w:rsidR="002A3A96" w:rsidRDefault="002A3A96" w:rsidP="007015AD">
            <w:pPr>
              <w:pStyle w:val="Wypunktowanie"/>
              <w:jc w:val="both"/>
              <w:rPr>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Cs w:val="22"/>
                <w:lang w:eastAsia="en-US" w:bidi="en-US"/>
              </w:rPr>
            </w:pPr>
          </w:p>
          <w:p w:rsidR="002A3A96" w:rsidRDefault="002A3A96" w:rsidP="007015AD">
            <w:pPr>
              <w:pStyle w:val="Teksttablicy"/>
              <w:jc w:val="both"/>
              <w:rPr>
                <w:rFonts w:ascii="Calibri" w:hAnsi="Calibri" w:cs="Calibri"/>
                <w:szCs w:val="22"/>
                <w:lang w:eastAsia="en-US" w:bidi="en-US"/>
              </w:rPr>
            </w:pP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lang w:val="en-US" w:eastAsia="en-US" w:bidi="en-US"/>
              </w:rPr>
            </w:pPr>
          </w:p>
          <w:p w:rsidR="002A3A96" w:rsidRDefault="002A3A96" w:rsidP="007015AD">
            <w:pPr>
              <w:pStyle w:val="Tekstpodstawowy"/>
              <w:spacing w:after="0"/>
              <w:jc w:val="both"/>
              <w:rPr>
                <w:lang w:val="en-US" w:eastAsia="en-US" w:bidi="en-US"/>
              </w:rPr>
            </w:pP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p>
          <w:p w:rsidR="002A3A96" w:rsidRDefault="002A3A96" w:rsidP="007015AD">
            <w:pPr>
              <w:pStyle w:val="Teksttablicy"/>
              <w:jc w:val="both"/>
              <w:rPr>
                <w:rFonts w:ascii="Calibri" w:hAnsi="Calibri" w:cs="Calibri"/>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Powierzchnia licowa znaku powinna być równa, gładka, bez rozwarstwień, pęcherzy i odklejeń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pPr>
            <w:proofErr w:type="spellStart"/>
            <w:r>
              <w:rPr>
                <w:sz w:val="22"/>
                <w:szCs w:val="22"/>
              </w:rPr>
              <w:t>Biała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w:t>
      </w:r>
      <w:proofErr w:type="spellStart"/>
      <w:r>
        <w:rPr>
          <w:sz w:val="22"/>
          <w:szCs w:val="22"/>
        </w:rPr>
        <w:t>technicznej</w:t>
      </w:r>
      <w:proofErr w:type="spellEnd"/>
      <w:r>
        <w:rPr>
          <w:sz w:val="22"/>
          <w:szCs w:val="22"/>
        </w:rPr>
        <w:t xml:space="preserve">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w:t>
            </w:r>
            <w:proofErr w:type="spellStart"/>
            <w:r>
              <w:rPr>
                <w:rFonts w:ascii="Calibri" w:hAnsi="Calibri"/>
                <w:sz w:val="22"/>
                <w:szCs w:val="22"/>
                <w:lang w:val="pl-PL"/>
              </w:rPr>
              <w:t>liczą-cej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Cs w:val="22"/>
                <w:lang w:val="pl-PL"/>
              </w:rPr>
            </w:pPr>
          </w:p>
          <w:p w:rsidR="002A3A96" w:rsidRDefault="002A3A96" w:rsidP="007015AD">
            <w:pPr>
              <w:pStyle w:val="StylIwony"/>
              <w:spacing w:before="0" w:after="0"/>
              <w:rPr>
                <w:rFonts w:ascii="Calibri" w:hAnsi="Calibri"/>
                <w:szCs w:val="22"/>
                <w:lang w:val="pl-PL"/>
              </w:rPr>
            </w:pPr>
          </w:p>
          <w:p w:rsidR="002A3A96" w:rsidRDefault="002A3A96" w:rsidP="007015AD">
            <w:pPr>
              <w:pStyle w:val="StylIwony"/>
              <w:rPr>
                <w:rFonts w:ascii="Calibri" w:hAnsi="Calibri"/>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1.</w:t>
            </w:r>
          </w:p>
        </w:tc>
        <w:tc>
          <w:tcPr>
            <w:tcW w:w="2268" w:type="dxa"/>
            <w:shd w:val="clear" w:color="auto" w:fill="auto"/>
          </w:tcPr>
          <w:p w:rsidR="002A3A96" w:rsidRDefault="002A3A96" w:rsidP="007015AD">
            <w:pPr>
              <w:overflowPunct w:val="0"/>
              <w:autoSpaceDE w:val="0"/>
              <w:snapToGrid w:val="0"/>
              <w:jc w:val="both"/>
            </w:pPr>
            <w:r>
              <w:rPr>
                <w:sz w:val="22"/>
                <w:szCs w:val="22"/>
              </w:rPr>
              <w:t>PN-76/C-81521</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2.</w:t>
            </w:r>
          </w:p>
        </w:tc>
        <w:tc>
          <w:tcPr>
            <w:tcW w:w="2268" w:type="dxa"/>
            <w:shd w:val="clear" w:color="auto" w:fill="auto"/>
          </w:tcPr>
          <w:p w:rsidR="002A3A96" w:rsidRDefault="002A3A96" w:rsidP="007015AD">
            <w:pPr>
              <w:overflowPunct w:val="0"/>
              <w:autoSpaceDE w:val="0"/>
              <w:snapToGrid w:val="0"/>
              <w:jc w:val="both"/>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3.</w:t>
            </w:r>
          </w:p>
        </w:tc>
        <w:tc>
          <w:tcPr>
            <w:tcW w:w="2268" w:type="dxa"/>
            <w:shd w:val="clear" w:color="auto" w:fill="auto"/>
          </w:tcPr>
          <w:p w:rsidR="002A3A96" w:rsidRDefault="002A3A96" w:rsidP="007015AD">
            <w:pPr>
              <w:overflowPunct w:val="0"/>
              <w:autoSpaceDE w:val="0"/>
              <w:snapToGrid w:val="0"/>
              <w:jc w:val="both"/>
            </w:pPr>
            <w:r>
              <w:rPr>
                <w:sz w:val="22"/>
                <w:szCs w:val="22"/>
              </w:rPr>
              <w:t>PN-84/H-74220</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4.</w:t>
            </w:r>
          </w:p>
        </w:tc>
        <w:tc>
          <w:tcPr>
            <w:tcW w:w="2268" w:type="dxa"/>
            <w:shd w:val="clear" w:color="auto" w:fill="auto"/>
          </w:tcPr>
          <w:p w:rsidR="002A3A96" w:rsidRDefault="002A3A96" w:rsidP="007015AD">
            <w:pPr>
              <w:overflowPunct w:val="0"/>
              <w:autoSpaceDE w:val="0"/>
              <w:snapToGrid w:val="0"/>
              <w:jc w:val="both"/>
            </w:pPr>
            <w:r>
              <w:rPr>
                <w:sz w:val="22"/>
                <w:szCs w:val="22"/>
              </w:rPr>
              <w:t>PN-88/C-81523</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pPr>
            <w:r>
              <w:rPr>
                <w:sz w:val="22"/>
                <w:szCs w:val="22"/>
              </w:rPr>
              <w:t>5.</w:t>
            </w:r>
          </w:p>
        </w:tc>
        <w:tc>
          <w:tcPr>
            <w:tcW w:w="2268" w:type="dxa"/>
            <w:shd w:val="clear" w:color="auto" w:fill="auto"/>
          </w:tcPr>
          <w:p w:rsidR="002A3A96" w:rsidRDefault="002A3A96" w:rsidP="007015AD">
            <w:pPr>
              <w:overflowPunct w:val="0"/>
              <w:autoSpaceDE w:val="0"/>
              <w:snapToGrid w:val="0"/>
              <w:jc w:val="both"/>
            </w:pPr>
            <w:r>
              <w:rPr>
                <w:sz w:val="22"/>
                <w:szCs w:val="22"/>
              </w:rPr>
              <w:t>PN-89/H-84023.07</w:t>
            </w:r>
          </w:p>
        </w:tc>
        <w:tc>
          <w:tcPr>
            <w:tcW w:w="5741" w:type="dxa"/>
            <w:shd w:val="clear" w:color="auto" w:fill="auto"/>
          </w:tcPr>
          <w:p w:rsidR="002A3A96" w:rsidRDefault="002A3A96" w:rsidP="007015AD">
            <w:pPr>
              <w:overflowPunct w:val="0"/>
              <w:autoSpaceDE w:val="0"/>
              <w:snapToGrid w:val="0"/>
              <w:jc w:val="both"/>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6.</w:t>
            </w:r>
          </w:p>
        </w:tc>
        <w:tc>
          <w:tcPr>
            <w:tcW w:w="2268" w:type="dxa"/>
            <w:shd w:val="clear" w:color="auto" w:fill="auto"/>
          </w:tcPr>
          <w:p w:rsidR="002A3A96" w:rsidRDefault="002A3A96" w:rsidP="007015AD">
            <w:pPr>
              <w:overflowPunct w:val="0"/>
              <w:autoSpaceDE w:val="0"/>
              <w:snapToGrid w:val="0"/>
              <w:jc w:val="both"/>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7.</w:t>
            </w:r>
          </w:p>
        </w:tc>
        <w:tc>
          <w:tcPr>
            <w:tcW w:w="2268" w:type="dxa"/>
            <w:shd w:val="clear" w:color="auto" w:fill="auto"/>
          </w:tcPr>
          <w:p w:rsidR="002A3A96" w:rsidRDefault="002A3A96" w:rsidP="007015AD">
            <w:pPr>
              <w:overflowPunct w:val="0"/>
              <w:autoSpaceDE w:val="0"/>
              <w:snapToGrid w:val="0"/>
              <w:jc w:val="both"/>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pPr>
            <w:r>
              <w:rPr>
                <w:sz w:val="22"/>
                <w:szCs w:val="22"/>
              </w:rPr>
              <w:t>8.</w:t>
            </w:r>
          </w:p>
        </w:tc>
        <w:tc>
          <w:tcPr>
            <w:tcW w:w="2268" w:type="dxa"/>
            <w:shd w:val="clear" w:color="auto" w:fill="auto"/>
          </w:tcPr>
          <w:p w:rsidR="002A3A96" w:rsidRDefault="002A3A96" w:rsidP="007015AD">
            <w:pPr>
              <w:overflowPunct w:val="0"/>
              <w:autoSpaceDE w:val="0"/>
              <w:snapToGrid w:val="0"/>
              <w:jc w:val="both"/>
            </w:pPr>
            <w:r>
              <w:rPr>
                <w:sz w:val="22"/>
                <w:szCs w:val="22"/>
              </w:rPr>
              <w:t>PN-EN 40-5:2004</w:t>
            </w:r>
          </w:p>
        </w:tc>
        <w:tc>
          <w:tcPr>
            <w:tcW w:w="5741" w:type="dxa"/>
            <w:shd w:val="clear" w:color="auto" w:fill="auto"/>
          </w:tcPr>
          <w:p w:rsidR="002A3A96" w:rsidRDefault="002A3A96" w:rsidP="007015AD">
            <w:pPr>
              <w:overflowPunct w:val="0"/>
              <w:autoSpaceDE w:val="0"/>
              <w:snapToGrid w:val="0"/>
              <w:jc w:val="both"/>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10.</w:t>
            </w:r>
          </w:p>
        </w:tc>
        <w:tc>
          <w:tcPr>
            <w:tcW w:w="2268" w:type="dxa"/>
            <w:shd w:val="clear" w:color="auto" w:fill="auto"/>
          </w:tcPr>
          <w:p w:rsidR="002A3A96" w:rsidRDefault="002A3A96" w:rsidP="007015AD">
            <w:pPr>
              <w:overflowPunct w:val="0"/>
              <w:autoSpaceDE w:val="0"/>
              <w:snapToGrid w:val="0"/>
              <w:jc w:val="both"/>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12.</w:t>
            </w:r>
          </w:p>
        </w:tc>
        <w:tc>
          <w:tcPr>
            <w:tcW w:w="2268" w:type="dxa"/>
            <w:shd w:val="clear" w:color="auto" w:fill="auto"/>
          </w:tcPr>
          <w:p w:rsidR="002A3A96" w:rsidRDefault="002A3A96" w:rsidP="007015AD">
            <w:pPr>
              <w:overflowPunct w:val="0"/>
              <w:autoSpaceDE w:val="0"/>
              <w:snapToGrid w:val="0"/>
              <w:jc w:val="both"/>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pPr>
            <w:r>
              <w:rPr>
                <w:sz w:val="22"/>
                <w:szCs w:val="22"/>
              </w:rPr>
              <w:t>13.</w:t>
            </w:r>
          </w:p>
        </w:tc>
        <w:tc>
          <w:tcPr>
            <w:tcW w:w="2268" w:type="dxa"/>
            <w:shd w:val="clear" w:color="auto" w:fill="auto"/>
          </w:tcPr>
          <w:p w:rsidR="002A3A96" w:rsidRDefault="002A3A96" w:rsidP="007015AD">
            <w:pPr>
              <w:overflowPunct w:val="0"/>
              <w:autoSpaceDE w:val="0"/>
              <w:snapToGrid w:val="0"/>
              <w:jc w:val="both"/>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pPr>
            <w:r>
              <w:rPr>
                <w:sz w:val="22"/>
                <w:szCs w:val="22"/>
              </w:rPr>
              <w:t>14.</w:t>
            </w:r>
          </w:p>
        </w:tc>
        <w:tc>
          <w:tcPr>
            <w:tcW w:w="2268" w:type="dxa"/>
            <w:shd w:val="clear" w:color="auto" w:fill="auto"/>
          </w:tcPr>
          <w:p w:rsidR="002A3A96" w:rsidRDefault="002A3A96" w:rsidP="007015AD">
            <w:pPr>
              <w:overflowPunct w:val="0"/>
              <w:autoSpaceDE w:val="0"/>
              <w:snapToGrid w:val="0"/>
              <w:jc w:val="both"/>
              <w:rPr>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pPr>
            <w:r>
              <w:rPr>
                <w:sz w:val="22"/>
                <w:szCs w:val="22"/>
              </w:rPr>
              <w:t>15.</w:t>
            </w:r>
          </w:p>
        </w:tc>
        <w:tc>
          <w:tcPr>
            <w:tcW w:w="2268" w:type="dxa"/>
            <w:shd w:val="clear" w:color="auto" w:fill="auto"/>
          </w:tcPr>
          <w:p w:rsidR="002A3A96" w:rsidRDefault="002A3A96" w:rsidP="007015AD">
            <w:pPr>
              <w:overflowPunct w:val="0"/>
              <w:autoSpaceDE w:val="0"/>
              <w:snapToGrid w:val="0"/>
              <w:jc w:val="both"/>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16.</w:t>
            </w:r>
          </w:p>
        </w:tc>
        <w:tc>
          <w:tcPr>
            <w:tcW w:w="2268" w:type="dxa"/>
            <w:shd w:val="clear" w:color="auto" w:fill="auto"/>
          </w:tcPr>
          <w:p w:rsidR="002A3A96" w:rsidRDefault="002A3A96" w:rsidP="007015AD">
            <w:pPr>
              <w:overflowPunct w:val="0"/>
              <w:autoSpaceDE w:val="0"/>
              <w:snapToGrid w:val="0"/>
              <w:jc w:val="both"/>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17.</w:t>
            </w:r>
          </w:p>
        </w:tc>
        <w:tc>
          <w:tcPr>
            <w:tcW w:w="2268" w:type="dxa"/>
            <w:shd w:val="clear" w:color="auto" w:fill="auto"/>
          </w:tcPr>
          <w:p w:rsidR="002A3A96" w:rsidRDefault="002A3A96" w:rsidP="007015AD">
            <w:pPr>
              <w:overflowPunct w:val="0"/>
              <w:autoSpaceDE w:val="0"/>
              <w:snapToGrid w:val="0"/>
              <w:jc w:val="both"/>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18.</w:t>
            </w:r>
          </w:p>
        </w:tc>
        <w:tc>
          <w:tcPr>
            <w:tcW w:w="2268" w:type="dxa"/>
            <w:shd w:val="clear" w:color="auto" w:fill="auto"/>
          </w:tcPr>
          <w:p w:rsidR="002A3A96" w:rsidRDefault="002A3A96" w:rsidP="007015AD">
            <w:pPr>
              <w:overflowPunct w:val="0"/>
              <w:autoSpaceDE w:val="0"/>
              <w:snapToGrid w:val="0"/>
              <w:jc w:val="both"/>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19.</w:t>
            </w:r>
          </w:p>
        </w:tc>
        <w:tc>
          <w:tcPr>
            <w:tcW w:w="2268" w:type="dxa"/>
            <w:shd w:val="clear" w:color="auto" w:fill="auto"/>
          </w:tcPr>
          <w:p w:rsidR="002A3A96" w:rsidRDefault="002A3A96" w:rsidP="007015AD">
            <w:pPr>
              <w:overflowPunct w:val="0"/>
              <w:autoSpaceDE w:val="0"/>
              <w:snapToGrid w:val="0"/>
              <w:jc w:val="both"/>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20.</w:t>
            </w:r>
          </w:p>
        </w:tc>
        <w:tc>
          <w:tcPr>
            <w:tcW w:w="2268" w:type="dxa"/>
            <w:shd w:val="clear" w:color="auto" w:fill="auto"/>
          </w:tcPr>
          <w:p w:rsidR="002A3A96" w:rsidRDefault="002A3A96" w:rsidP="007015AD">
            <w:pPr>
              <w:overflowPunct w:val="0"/>
              <w:autoSpaceDE w:val="0"/>
              <w:snapToGrid w:val="0"/>
              <w:jc w:val="both"/>
              <w:rPr>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21.</w:t>
            </w:r>
          </w:p>
        </w:tc>
        <w:tc>
          <w:tcPr>
            <w:tcW w:w="2268" w:type="dxa"/>
            <w:shd w:val="clear" w:color="auto" w:fill="auto"/>
          </w:tcPr>
          <w:p w:rsidR="002A3A96" w:rsidRDefault="002A3A96" w:rsidP="007015AD">
            <w:pPr>
              <w:overflowPunct w:val="0"/>
              <w:autoSpaceDE w:val="0"/>
              <w:snapToGrid w:val="0"/>
              <w:jc w:val="both"/>
              <w:rPr>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22.</w:t>
            </w:r>
          </w:p>
        </w:tc>
        <w:tc>
          <w:tcPr>
            <w:tcW w:w="2268" w:type="dxa"/>
            <w:shd w:val="clear" w:color="auto" w:fill="auto"/>
          </w:tcPr>
          <w:p w:rsidR="002A3A96" w:rsidRDefault="002A3A96" w:rsidP="007015AD">
            <w:pPr>
              <w:overflowPunct w:val="0"/>
              <w:autoSpaceDE w:val="0"/>
              <w:snapToGrid w:val="0"/>
              <w:jc w:val="both"/>
              <w:rPr>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23.</w:t>
            </w:r>
          </w:p>
        </w:tc>
        <w:tc>
          <w:tcPr>
            <w:tcW w:w="2268" w:type="dxa"/>
            <w:shd w:val="clear" w:color="auto" w:fill="auto"/>
          </w:tcPr>
          <w:p w:rsidR="002A3A96" w:rsidRDefault="002A3A96" w:rsidP="007015AD">
            <w:pPr>
              <w:overflowPunct w:val="0"/>
              <w:autoSpaceDE w:val="0"/>
              <w:snapToGrid w:val="0"/>
              <w:jc w:val="both"/>
            </w:pPr>
            <w:r>
              <w:rPr>
                <w:sz w:val="22"/>
                <w:szCs w:val="22"/>
              </w:rPr>
              <w:t>PN-91/H-93010</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pPr>
            <w:r>
              <w:rPr>
                <w:sz w:val="22"/>
                <w:szCs w:val="22"/>
              </w:rPr>
              <w:t>24.</w:t>
            </w:r>
          </w:p>
        </w:tc>
        <w:tc>
          <w:tcPr>
            <w:tcW w:w="2268" w:type="dxa"/>
            <w:shd w:val="clear" w:color="auto" w:fill="auto"/>
          </w:tcPr>
          <w:p w:rsidR="002A3A96" w:rsidRDefault="002A3A96" w:rsidP="007015AD">
            <w:pPr>
              <w:overflowPunct w:val="0"/>
              <w:autoSpaceDE w:val="0"/>
              <w:snapToGrid w:val="0"/>
              <w:jc w:val="both"/>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nr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rsidSect="00DE4C0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80000000" w:usb2="00000008"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A3A96"/>
    <w:rsid w:val="000908D9"/>
    <w:rsid w:val="002A3A96"/>
    <w:rsid w:val="00653B39"/>
    <w:rsid w:val="00A21DBA"/>
    <w:rsid w:val="00B01F1C"/>
    <w:rsid w:val="00DE4C0E"/>
    <w:rsid w:val="00EA3D81"/>
    <w:rsid w:val="00F2187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6946</Words>
  <Characters>41677</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Podlaski Zarząd Dróg Wojewódzkichw Białymstoku</cp:lastModifiedBy>
  <cp:revision>10</cp:revision>
  <dcterms:created xsi:type="dcterms:W3CDTF">2016-04-04T08:52:00Z</dcterms:created>
  <dcterms:modified xsi:type="dcterms:W3CDTF">2016-05-12T10:57:00Z</dcterms:modified>
</cp:coreProperties>
</file>