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ABA" w:rsidRDefault="00E15B4C" w:rsidP="00C90ABA">
      <w:pPr>
        <w:jc w:val="center"/>
        <w:rPr>
          <w:b/>
          <w:sz w:val="28"/>
        </w:rPr>
      </w:pPr>
      <w:r>
        <w:rPr>
          <w:b/>
          <w:sz w:val="28"/>
        </w:rPr>
        <w:t>D - 02.04.04</w:t>
      </w:r>
    </w:p>
    <w:p w:rsidR="00C90ABA" w:rsidRDefault="00C90ABA" w:rsidP="00C90ABA">
      <w:pPr>
        <w:jc w:val="center"/>
        <w:rPr>
          <w:b/>
          <w:sz w:val="27"/>
        </w:rPr>
      </w:pPr>
    </w:p>
    <w:p w:rsidR="00C90ABA" w:rsidRDefault="00C90ABA" w:rsidP="00C90ABA">
      <w:pPr>
        <w:jc w:val="center"/>
        <w:rPr>
          <w:b/>
          <w:sz w:val="28"/>
        </w:rPr>
      </w:pPr>
      <w:r>
        <w:rPr>
          <w:b/>
          <w:sz w:val="28"/>
        </w:rPr>
        <w:t>WZMOCNIENIE   GEOSYNTETYKIEM</w:t>
      </w:r>
    </w:p>
    <w:p w:rsidR="00C90ABA" w:rsidRDefault="00C90ABA" w:rsidP="00C90ABA">
      <w:pPr>
        <w:jc w:val="center"/>
        <w:rPr>
          <w:b/>
          <w:sz w:val="28"/>
        </w:rPr>
      </w:pPr>
      <w:r>
        <w:rPr>
          <w:b/>
          <w:sz w:val="28"/>
        </w:rPr>
        <w:t>PODŁOŻA   NASYPU</w:t>
      </w:r>
    </w:p>
    <w:p w:rsidR="00C90ABA" w:rsidRDefault="00C90ABA" w:rsidP="00C90ABA">
      <w:pPr>
        <w:jc w:val="center"/>
        <w:rPr>
          <w:b/>
          <w:sz w:val="27"/>
        </w:rPr>
      </w:pPr>
      <w:r>
        <w:rPr>
          <w:b/>
          <w:sz w:val="28"/>
        </w:rPr>
        <w:t>NA   GRUNCIE   SŁABO</w:t>
      </w:r>
      <w:bookmarkStart w:id="0" w:name="_GoBack"/>
      <w:bookmarkEnd w:id="0"/>
      <w:r>
        <w:rPr>
          <w:b/>
          <w:sz w:val="28"/>
        </w:rPr>
        <w:t>NOŚNYM</w:t>
      </w:r>
    </w:p>
    <w:p w:rsidR="00C90ABA" w:rsidRDefault="00C90ABA" w:rsidP="00C90ABA">
      <w:pPr>
        <w:jc w:val="center"/>
        <w:rPr>
          <w:b/>
          <w:sz w:val="28"/>
        </w:rPr>
      </w:pPr>
    </w:p>
    <w:p w:rsidR="00C90ABA" w:rsidRDefault="00C90ABA" w:rsidP="00C90ABA">
      <w:pPr>
        <w:pStyle w:val="Nagwek1"/>
      </w:pPr>
      <w:bookmarkStart w:id="1" w:name="_Toc63657588"/>
      <w:bookmarkStart w:id="2" w:name="_Toc416830698"/>
      <w:bookmarkStart w:id="3" w:name="_Toc404150096"/>
      <w:r>
        <w:t>1. WSTĘP</w:t>
      </w:r>
      <w:bookmarkEnd w:id="1"/>
      <w:bookmarkEnd w:id="2"/>
      <w:bookmarkEnd w:id="3"/>
    </w:p>
    <w:p w:rsidR="00C90ABA" w:rsidRDefault="00C90ABA" w:rsidP="00C90ABA">
      <w:pPr>
        <w:pStyle w:val="Nagwek2"/>
      </w:pPr>
      <w:bookmarkStart w:id="4" w:name="_Toc407161179"/>
      <w:bookmarkStart w:id="5" w:name="_Toc405615031"/>
      <w:r>
        <w:t>1.1. Przedmiot ST</w:t>
      </w:r>
      <w:bookmarkEnd w:id="4"/>
      <w:bookmarkEnd w:id="5"/>
    </w:p>
    <w:p w:rsidR="00C90ABA" w:rsidRPr="00906FD6" w:rsidRDefault="00C90ABA" w:rsidP="00906FD6">
      <w:pPr>
        <w:shd w:val="clear" w:color="auto" w:fill="FFFFFF"/>
        <w:tabs>
          <w:tab w:val="left" w:leader="dot" w:pos="9259"/>
          <w:tab w:val="left" w:leader="dot" w:pos="9356"/>
        </w:tabs>
        <w:rPr>
          <w:b/>
        </w:rPr>
      </w:pPr>
      <w:r>
        <w:t>Przedmiotem niniejszej specyfikacji technicznej (</w:t>
      </w:r>
      <w:r w:rsidR="00906FD6">
        <w:t>S</w:t>
      </w:r>
      <w:r>
        <w:t>T) są wymagania dotyczące wykonania i odbioru robót związanych z wykonaniem wzmocnienia geosyntetykiem podłoża nasypu na gruncie słabonośnym</w:t>
      </w:r>
      <w:r w:rsidR="00906FD6">
        <w:t xml:space="preserve"> </w:t>
      </w:r>
      <w:r w:rsidR="00906FD6" w:rsidRPr="00B55FCC">
        <w:t xml:space="preserve">przy </w:t>
      </w:r>
      <w:r w:rsidR="00906FD6" w:rsidRPr="00B55FCC">
        <w:rPr>
          <w:b/>
          <w:bCs/>
        </w:rPr>
        <w:t>remoncie nawierzchni bitumicznej drogi wojewódzkiej Nr 692</w:t>
      </w:r>
      <w:r w:rsidR="00CB0ECE">
        <w:rPr>
          <w:b/>
          <w:bCs/>
        </w:rPr>
        <w:t xml:space="preserve"> Drohiczyn-Dziadkowice</w:t>
      </w:r>
      <w:r w:rsidR="00906FD6" w:rsidRPr="00B55FCC">
        <w:rPr>
          <w:b/>
          <w:bCs/>
        </w:rPr>
        <w:t xml:space="preserve">, w km </w:t>
      </w:r>
      <w:r w:rsidR="00906FD6">
        <w:rPr>
          <w:b/>
          <w:bCs/>
        </w:rPr>
        <w:t>3+300-8+530</w:t>
      </w:r>
      <w:r w:rsidR="00906FD6">
        <w:rPr>
          <w:b/>
        </w:rPr>
        <w:t>.</w:t>
      </w:r>
    </w:p>
    <w:p w:rsidR="00C90ABA" w:rsidRDefault="00906FD6" w:rsidP="00C90ABA">
      <w:pPr>
        <w:pStyle w:val="Nagwek2"/>
      </w:pPr>
      <w:bookmarkStart w:id="6" w:name="_Toc407161180"/>
      <w:bookmarkStart w:id="7" w:name="_Toc405615032"/>
      <w:r>
        <w:t xml:space="preserve">1.2. Zakres stosowania </w:t>
      </w:r>
      <w:r w:rsidR="00C90ABA">
        <w:t>ST</w:t>
      </w:r>
      <w:bookmarkEnd w:id="6"/>
      <w:bookmarkEnd w:id="7"/>
    </w:p>
    <w:p w:rsidR="00906FD6" w:rsidRDefault="00906FD6" w:rsidP="00906FD6">
      <w:pPr>
        <w:spacing w:after="114" w:line="120" w:lineRule="atLeast"/>
      </w:pPr>
      <w:bookmarkStart w:id="8" w:name="_Toc407161181"/>
      <w:bookmarkStart w:id="9" w:name="_Toc405615033"/>
      <w:r>
        <w:t xml:space="preserve">Specyfikacja Techniczna jest stosowana jako dokument przetargowy i kontraktowy przy zlecaniu i realizacji robót wymienionych w p.1.1. </w:t>
      </w:r>
    </w:p>
    <w:p w:rsidR="00C90ABA" w:rsidRDefault="00C90ABA" w:rsidP="00906FD6">
      <w:pPr>
        <w:pStyle w:val="Standardowytekst"/>
      </w:pPr>
      <w:r>
        <w:t>1.3. Zakres robót objętych ST</w:t>
      </w:r>
      <w:bookmarkEnd w:id="8"/>
      <w:bookmarkEnd w:id="9"/>
    </w:p>
    <w:p w:rsidR="00C90ABA" w:rsidRDefault="00C90ABA" w:rsidP="00906FD6">
      <w:r>
        <w:t>Ustalenia zawarte w niniejszej specyfikacji dotyczą zasad prowadzenia robót związanych z wykonaniem i odbiorem wzmocnienia podłoża nasypu na gruncie słabonośnym za pomocą geosyntetyku zastosowanego przy budowie:</w:t>
      </w:r>
    </w:p>
    <w:p w:rsidR="00C90ABA" w:rsidRDefault="00C90ABA" w:rsidP="00C90ABA">
      <w:pPr>
        <w:numPr>
          <w:ilvl w:val="0"/>
          <w:numId w:val="3"/>
        </w:numPr>
      </w:pPr>
      <w:r>
        <w:t>trwałych nasypów dróg,</w:t>
      </w:r>
    </w:p>
    <w:p w:rsidR="00C90ABA" w:rsidRDefault="00C90ABA" w:rsidP="00C90ABA">
      <w:pPr>
        <w:numPr>
          <w:ilvl w:val="0"/>
          <w:numId w:val="3"/>
        </w:numPr>
      </w:pPr>
      <w:r>
        <w:t>dróg tymczasowych,</w:t>
      </w:r>
    </w:p>
    <w:p w:rsidR="00C90ABA" w:rsidRDefault="00C90ABA" w:rsidP="00C90ABA">
      <w:pPr>
        <w:numPr>
          <w:ilvl w:val="0"/>
          <w:numId w:val="3"/>
        </w:numPr>
      </w:pPr>
      <w:r>
        <w:t>innych zastosowań.</w:t>
      </w:r>
    </w:p>
    <w:p w:rsidR="00C90ABA" w:rsidRDefault="00C90ABA" w:rsidP="00C90ABA">
      <w:pPr>
        <w:pStyle w:val="Nagwek2"/>
      </w:pPr>
      <w:r>
        <w:t>1.4. Określenia podstawowe</w:t>
      </w:r>
    </w:p>
    <w:p w:rsidR="00C90ABA" w:rsidRDefault="00C90ABA" w:rsidP="00C90ABA">
      <w:pPr>
        <w:numPr>
          <w:ilvl w:val="0"/>
          <w:numId w:val="4"/>
        </w:numPr>
        <w:ind w:left="0" w:firstLine="0"/>
      </w:pPr>
      <w:r>
        <w:t>Geosyntetyk - materiał o postaci ciągłej, wytwarzany z wysoko spolimeryzowanych włókien syntetycznych jak polietylen, polipropylen, poliester, charakteryzujący się m.in. dużą wytrzymałością oraz wodoprzepuszczalnością.</w:t>
      </w:r>
    </w:p>
    <w:p w:rsidR="00C90ABA" w:rsidRDefault="00C90ABA" w:rsidP="00C90ABA">
      <w:r>
        <w:t>Geosyntetyki obejmują: geosiatki, geowłókniny, geotkaniny, geodzianiny, georuszty, geokompozyty, geomembrany.</w:t>
      </w:r>
    </w:p>
    <w:p w:rsidR="00C90ABA" w:rsidRDefault="00C90ABA" w:rsidP="00C90ABA">
      <w:pPr>
        <w:numPr>
          <w:ilvl w:val="0"/>
          <w:numId w:val="5"/>
        </w:numPr>
        <w:spacing w:before="120"/>
        <w:ind w:left="0" w:firstLine="0"/>
      </w:pPr>
      <w:r w:rsidRPr="00906FD6">
        <w:rPr>
          <w:b/>
          <w:i/>
        </w:rPr>
        <w:t>Geowłóknina</w:t>
      </w:r>
      <w:r>
        <w:t xml:space="preserve"> - materiał nietkany wykonany z włókien syntetycznych, których spójność jest zapewniona przez igłowanie lub inne procesy łączenia (np. dodatki chemiczne, połączenie termiczne) i który zostaje maszynowo uformowany w postaci maty.</w:t>
      </w:r>
    </w:p>
    <w:p w:rsidR="00C90ABA" w:rsidRDefault="00C90ABA" w:rsidP="00C90ABA">
      <w:pPr>
        <w:numPr>
          <w:ilvl w:val="0"/>
          <w:numId w:val="5"/>
        </w:numPr>
        <w:spacing w:before="120"/>
        <w:ind w:left="0" w:firstLine="0"/>
      </w:pPr>
      <w:r>
        <w:t>Geotkanina - materiał tkany wytwarzany z włókien syntetycznych przez przeplatanie dwóch lub więcej układów przędz, włókien, filamentów, taśm lub innych elementów.</w:t>
      </w:r>
    </w:p>
    <w:p w:rsidR="00C90ABA" w:rsidRDefault="00C90ABA" w:rsidP="00C90ABA">
      <w:pPr>
        <w:numPr>
          <w:ilvl w:val="0"/>
          <w:numId w:val="6"/>
        </w:numPr>
        <w:spacing w:before="120"/>
        <w:ind w:left="0" w:firstLine="0"/>
      </w:pPr>
      <w:r>
        <w:t>Geokompozyt - materiał złożony z co najmniej dwóch rodzajów połączonych geosyntetyków, np. geowłókniny i geosiatki, uformowanych w postaci maty.</w:t>
      </w:r>
    </w:p>
    <w:p w:rsidR="00C90ABA" w:rsidRDefault="00C90ABA" w:rsidP="00C90ABA">
      <w:pPr>
        <w:numPr>
          <w:ilvl w:val="0"/>
          <w:numId w:val="5"/>
        </w:numPr>
        <w:spacing w:before="120"/>
        <w:ind w:left="0" w:firstLine="0"/>
      </w:pPr>
      <w:r>
        <w:t xml:space="preserve">Geosiatka - płaska struktura w postaci siatki, z otworami znacznie większymi niż elementy składowe, z oczkami połączonymi (przeplatanymi) w węzłach lub ciągnionymi </w:t>
      </w:r>
    </w:p>
    <w:p w:rsidR="00C90ABA" w:rsidRDefault="00C90ABA" w:rsidP="00C90ABA">
      <w:pPr>
        <w:numPr>
          <w:ilvl w:val="0"/>
          <w:numId w:val="7"/>
        </w:numPr>
        <w:spacing w:before="120"/>
        <w:ind w:left="0" w:firstLine="0"/>
      </w:pPr>
      <w:r>
        <w:t>Georuszt - siatka wewnętrznie połączonych elementów wytrzymałych na rozciąganie, wykonanych jako ciągnione na gorąco, układane i sklejane lub zgrzewane.</w:t>
      </w:r>
    </w:p>
    <w:p w:rsidR="00C90ABA" w:rsidRDefault="00C90ABA" w:rsidP="00C90ABA">
      <w:pPr>
        <w:numPr>
          <w:ilvl w:val="0"/>
          <w:numId w:val="8"/>
        </w:numPr>
        <w:spacing w:before="120"/>
        <w:ind w:left="0" w:firstLine="0"/>
      </w:pPr>
      <w:r>
        <w:t xml:space="preserve">Wzmocnienie geosyntetykiem podłoża nasypu - wykorzystanie właściwości geosyntetyku przy rozciąganiu (wytrzymałości, sztywności) do poprawienia właściwości mechanicznych gruntu nasypu.    </w:t>
      </w:r>
    </w:p>
    <w:p w:rsidR="00C90ABA" w:rsidRDefault="00C90ABA" w:rsidP="00C90ABA">
      <w:pPr>
        <w:numPr>
          <w:ilvl w:val="0"/>
          <w:numId w:val="6"/>
        </w:numPr>
        <w:spacing w:before="120"/>
        <w:ind w:left="0" w:firstLine="0"/>
      </w:pPr>
      <w:r>
        <w:t>Nasyp - drogowa budowla ziemna wykonana powyżej powierzchni terenu w obrębie pasa drogowego.</w:t>
      </w:r>
    </w:p>
    <w:p w:rsidR="00C90ABA" w:rsidRDefault="00C90ABA" w:rsidP="00C90ABA">
      <w:pPr>
        <w:numPr>
          <w:ilvl w:val="0"/>
          <w:numId w:val="6"/>
        </w:numPr>
        <w:spacing w:before="120"/>
        <w:ind w:left="0" w:firstLine="0"/>
      </w:pPr>
      <w:r>
        <w:t>Słabe podłoże (pod nasypem) - warstwy gruntu nie spełniające wymagań, wynikających z warunków nośności lub stateczności albo warunków przydatności do użytkowania nasypu.</w:t>
      </w:r>
    </w:p>
    <w:p w:rsidR="00C90ABA" w:rsidRDefault="00C90ABA" w:rsidP="00C90ABA">
      <w:pPr>
        <w:spacing w:before="120"/>
      </w:pPr>
      <w:r>
        <w:rPr>
          <w:b/>
        </w:rPr>
        <w:t xml:space="preserve">1.4.10. </w:t>
      </w:r>
      <w:r>
        <w:t>Pozostałe określenia podstawowe są zgodne z obowiązującymi, odpowiednimi polskimi normami i z definicjami podanymi w OST   D-M-00.00.00 „Wymagania ogólne” [1] pkt 1.4.</w:t>
      </w:r>
    </w:p>
    <w:p w:rsidR="00C90ABA" w:rsidRDefault="00C90ABA" w:rsidP="00C90ABA">
      <w:pPr>
        <w:pStyle w:val="Nagwek2"/>
      </w:pPr>
      <w:r>
        <w:t xml:space="preserve">1.5. Ogólne wymagania dotyczące robót </w:t>
      </w:r>
    </w:p>
    <w:p w:rsidR="00C90ABA" w:rsidRDefault="00C90ABA" w:rsidP="00C90ABA">
      <w:r>
        <w:tab/>
      </w:r>
      <w:r w:rsidR="00906FD6">
        <w:t>W</w:t>
      </w:r>
      <w:r>
        <w:t xml:space="preserve">ymagania dotyczące robót podano w </w:t>
      </w:r>
      <w:r w:rsidR="00906FD6">
        <w:t>S</w:t>
      </w:r>
      <w:r>
        <w:t>ST D-M-00.00.00 „Wymagania ogólne” [1] pkt 1.5.</w:t>
      </w:r>
    </w:p>
    <w:p w:rsidR="00C90ABA" w:rsidRDefault="00C90ABA" w:rsidP="00C90ABA">
      <w:pPr>
        <w:pStyle w:val="Nagwek1"/>
      </w:pPr>
      <w:bookmarkStart w:id="10" w:name="_Toc63657589"/>
      <w:bookmarkStart w:id="11" w:name="_Toc42653949"/>
      <w:bookmarkStart w:id="12" w:name="_Toc41966530"/>
      <w:bookmarkStart w:id="13" w:name="_Toc25379397"/>
      <w:bookmarkStart w:id="14" w:name="_Toc25373381"/>
      <w:bookmarkStart w:id="15" w:name="_Toc25128883"/>
      <w:bookmarkStart w:id="16" w:name="_Toc25041743"/>
      <w:bookmarkStart w:id="17" w:name="_Toc24955909"/>
      <w:bookmarkStart w:id="18" w:name="_Toc421940497"/>
      <w:bookmarkStart w:id="19" w:name="_Toc421686544"/>
      <w:r>
        <w:lastRenderedPageBreak/>
        <w:t>2. materiały</w:t>
      </w:r>
      <w:bookmarkEnd w:id="10"/>
      <w:bookmarkEnd w:id="11"/>
      <w:bookmarkEnd w:id="12"/>
      <w:bookmarkEnd w:id="13"/>
      <w:bookmarkEnd w:id="14"/>
      <w:bookmarkEnd w:id="15"/>
      <w:bookmarkEnd w:id="16"/>
      <w:bookmarkEnd w:id="17"/>
      <w:bookmarkEnd w:id="18"/>
      <w:bookmarkEnd w:id="19"/>
    </w:p>
    <w:p w:rsidR="00C90ABA" w:rsidRDefault="00C90ABA" w:rsidP="00C90ABA">
      <w:pPr>
        <w:pStyle w:val="Nagwek2"/>
      </w:pPr>
      <w:r>
        <w:t>2.1. Ogólne wymagania dotyczące materiałów</w:t>
      </w:r>
    </w:p>
    <w:p w:rsidR="00C90ABA" w:rsidRDefault="00C90ABA" w:rsidP="00C90ABA">
      <w:r>
        <w:tab/>
      </w:r>
      <w:r w:rsidR="00906FD6">
        <w:t>W</w:t>
      </w:r>
      <w:r>
        <w:t xml:space="preserve">ymagania dotyczące materiałów, ich pozyskiwania i składowania, podano w </w:t>
      </w:r>
      <w:r w:rsidR="00906FD6">
        <w:t>S</w:t>
      </w:r>
      <w:r>
        <w:t>ST D-M-00.00.00 „Wymagania ogólne” [1] pkt 2.</w:t>
      </w:r>
    </w:p>
    <w:p w:rsidR="00C90ABA" w:rsidRDefault="00C90ABA" w:rsidP="00C90ABA">
      <w:pPr>
        <w:pStyle w:val="Nagwek2"/>
      </w:pPr>
      <w:r>
        <w:t>2.2.  Materiały do wykonania robót</w:t>
      </w:r>
    </w:p>
    <w:p w:rsidR="00C90ABA" w:rsidRDefault="00C90ABA" w:rsidP="00C90ABA">
      <w:pPr>
        <w:numPr>
          <w:ilvl w:val="0"/>
          <w:numId w:val="9"/>
        </w:numPr>
        <w:spacing w:after="120"/>
        <w:ind w:left="284" w:hanging="284"/>
      </w:pPr>
      <w:r>
        <w:t>Zgodność materiałów z dokumentacją projektową i aprobatą techniczną</w:t>
      </w:r>
    </w:p>
    <w:p w:rsidR="00C90ABA" w:rsidRDefault="00C90ABA" w:rsidP="00C90ABA">
      <w:r>
        <w:tab/>
        <w:t>Materiały do wykonania wzmocnienia podłoża nasypu za pomocą geosyntetyku powinny być zgodne z ustaleniami dokumentacji projektowej lub SST oraz z aprobatą techniczną IBDiM.</w:t>
      </w:r>
    </w:p>
    <w:p w:rsidR="00C90ABA" w:rsidRDefault="00C90ABA" w:rsidP="00C90ABA">
      <w:pPr>
        <w:numPr>
          <w:ilvl w:val="0"/>
          <w:numId w:val="10"/>
        </w:numPr>
        <w:spacing w:before="120" w:after="120"/>
        <w:ind w:left="284" w:hanging="284"/>
      </w:pPr>
      <w:r>
        <w:t>Geosyntetyk</w:t>
      </w:r>
    </w:p>
    <w:p w:rsidR="00C90ABA" w:rsidRDefault="00C90ABA" w:rsidP="00C90ABA">
      <w:pPr>
        <w:ind w:firstLine="709"/>
      </w:pPr>
      <w:r>
        <w:t>Rodzaj geosyntetyku i jego właściwości powinny odpowiadać wymaganiom określonym w dokumentacji projektowej (np. geowłóknina, geotkanina, geokompozyt, georuszt itp.).</w:t>
      </w:r>
    </w:p>
    <w:p w:rsidR="00C90ABA" w:rsidRDefault="00C90ABA" w:rsidP="00C90ABA">
      <w:pPr>
        <w:ind w:firstLine="709"/>
      </w:pPr>
      <w:r>
        <w:t>W przypadku braku wystarczających danych, przy wyborze geosyntetyku można korzystać z ustaleń podanych w załączniku 1 w zakresie właściwości i wyboru materiału.</w:t>
      </w:r>
    </w:p>
    <w:p w:rsidR="00C90ABA" w:rsidRDefault="00C90ABA" w:rsidP="00C90ABA">
      <w:pPr>
        <w:ind w:firstLine="709"/>
      </w:pPr>
      <w:r>
        <w:t>Przy zastosowaniu geosyntetyku do oddzielenia korpusu nasypu od słabego podłoża zaleca się materiały o wytrzymałości co najmniej 8 kN/m oraz dużej odkształcalności (np. włókniny o wydłużeniu przy zerwaniu co najmniej 40%); materiały te powinny zapewnić swobodny przepływ wody.</w:t>
      </w:r>
    </w:p>
    <w:p w:rsidR="00C90ABA" w:rsidRDefault="00C90ABA" w:rsidP="00C90ABA">
      <w:pPr>
        <w:ind w:firstLine="709"/>
      </w:pPr>
      <w:r>
        <w:t>Geosyntetyki powinny być dostarczane w rolkach nawiniętych na tuleje lub rury. Wymiary (szerokość, długość) mogą być standardowe lub dostosowane do indywidualnych zamówień (niektóre wyroby mogą być dostarczane w panelach). Rolki powinny być opakowane w wodoszczelną folię, stabilizowaną przeciw działaniu promieniowania UV i zabezpieczone przed rozwinięciem.</w:t>
      </w:r>
    </w:p>
    <w:p w:rsidR="00C90ABA" w:rsidRDefault="00C90ABA" w:rsidP="00C90ABA">
      <w:pPr>
        <w:ind w:firstLine="709"/>
      </w:pPr>
      <w:r>
        <w:t>Warunki składowania nie powinny wpływać na właściwości geosyntetyków. Podczas przechowywania należy chronić materiały, zwłaszcza geowłókniny przed zawilgoceniem, zabrudzeniem, jak również przed długotrwałym (np. parotygodniowym) działaniem promieni słonecznych. Materiały należy przechowywać wyłącznie w rolkach opakowanych fabrycznie, ułożonych poziomo na wyrównanym podłożu. Nie należy układać na nich żadnych obciążeń. Opakowania nie należy zdejmować aż do momentu wbudowania.</w:t>
      </w:r>
    </w:p>
    <w:p w:rsidR="00C90ABA" w:rsidRDefault="00C90ABA" w:rsidP="00C90ABA">
      <w:pPr>
        <w:ind w:firstLine="709"/>
      </w:pPr>
      <w:r>
        <w:t>Podczas ładowania, rozładowywania i składowania należy zabezpieczyć rolki przed uszkodzeniami mechanicznymi lub chemicznymi oraz przed działaniem wysokich temperatur.</w:t>
      </w:r>
    </w:p>
    <w:p w:rsidR="00C90ABA" w:rsidRDefault="00C90ABA" w:rsidP="00C90ABA">
      <w:pPr>
        <w:numPr>
          <w:ilvl w:val="0"/>
          <w:numId w:val="11"/>
        </w:numPr>
        <w:spacing w:before="120" w:after="120"/>
        <w:ind w:left="284" w:hanging="284"/>
      </w:pPr>
      <w:r>
        <w:t>Grunty na nasypy</w:t>
      </w:r>
    </w:p>
    <w:p w:rsidR="00C90ABA" w:rsidRDefault="00C90ABA" w:rsidP="00C90ABA">
      <w:r>
        <w:tab/>
        <w:t xml:space="preserve">Grunty na nasypy powinny odpowiadać wymaganiom </w:t>
      </w:r>
      <w:r w:rsidR="00906FD6">
        <w:t>S</w:t>
      </w:r>
      <w:r>
        <w:t>ST D-02.00.00 [3].</w:t>
      </w:r>
    </w:p>
    <w:p w:rsidR="00C90ABA" w:rsidRDefault="00C90ABA" w:rsidP="00C90ABA">
      <w:pPr>
        <w:pStyle w:val="Nagwek1"/>
      </w:pPr>
      <w:bookmarkStart w:id="20" w:name="_Toc63657590"/>
      <w:bookmarkStart w:id="21" w:name="_Toc42653950"/>
      <w:bookmarkStart w:id="22" w:name="_Toc41966531"/>
      <w:bookmarkStart w:id="23" w:name="_Toc25379398"/>
      <w:bookmarkStart w:id="24" w:name="_Toc25373382"/>
      <w:r>
        <w:t>3. sprzęt</w:t>
      </w:r>
      <w:bookmarkEnd w:id="20"/>
      <w:bookmarkEnd w:id="21"/>
      <w:bookmarkEnd w:id="22"/>
      <w:bookmarkEnd w:id="23"/>
      <w:bookmarkEnd w:id="24"/>
    </w:p>
    <w:p w:rsidR="00C90ABA" w:rsidRDefault="00C90ABA" w:rsidP="00C90ABA">
      <w:pPr>
        <w:pStyle w:val="Nagwek2"/>
      </w:pPr>
      <w:r>
        <w:t>3.1. Ogólne wymagania dotyczące sprzętu</w:t>
      </w:r>
    </w:p>
    <w:p w:rsidR="00C90ABA" w:rsidRDefault="00C90ABA" w:rsidP="00C90ABA">
      <w:r>
        <w:tab/>
      </w:r>
      <w:r w:rsidR="00906FD6">
        <w:t>W</w:t>
      </w:r>
      <w:r>
        <w:t xml:space="preserve">ymagania dotyczące sprzętu podano w </w:t>
      </w:r>
      <w:r w:rsidR="00906FD6">
        <w:t>S</w:t>
      </w:r>
      <w:r>
        <w:t>ST  D-M-00.00.00 „Wymagania ogólne” [1] pkt 3.</w:t>
      </w:r>
    </w:p>
    <w:p w:rsidR="00C90ABA" w:rsidRDefault="00C90ABA" w:rsidP="00C90ABA">
      <w:pPr>
        <w:pStyle w:val="Nagwek2"/>
      </w:pPr>
      <w:r>
        <w:t>3.2. Sprzęt stosowany do wykonania wzmocnienia geosyntetykiem podłoża nasypu</w:t>
      </w:r>
    </w:p>
    <w:p w:rsidR="00C90ABA" w:rsidRDefault="00C90ABA" w:rsidP="00C90ABA">
      <w:pPr>
        <w:ind w:firstLine="709"/>
      </w:pPr>
      <w:r>
        <w:t>W zależności od potrzeb Wykonawca powinien wykazać się możliwością korzystania z następującego sprzętu:</w:t>
      </w:r>
    </w:p>
    <w:p w:rsidR="00C90ABA" w:rsidRDefault="00C90ABA" w:rsidP="00C90ABA">
      <w:pPr>
        <w:numPr>
          <w:ilvl w:val="0"/>
          <w:numId w:val="12"/>
        </w:numPr>
      </w:pPr>
      <w:r>
        <w:t>do układania geosyntetyków</w:t>
      </w:r>
    </w:p>
    <w:p w:rsidR="00C90ABA" w:rsidRDefault="00C90ABA" w:rsidP="00C90ABA">
      <w:pPr>
        <w:ind w:left="426" w:hanging="426"/>
      </w:pPr>
      <w:r>
        <w:tab/>
        <w:t>układarki o prostej konstrukcji, umożliwiające rozwijanie geosyntetyku ze szpuli, np.</w:t>
      </w:r>
      <w:r w:rsidR="00906FD6">
        <w:t xml:space="preserve"> </w:t>
      </w:r>
      <w:r>
        <w:t>przez podwieszenie rolki do wysięgnika koparki, ciągnika, ładowarki itp.</w:t>
      </w:r>
    </w:p>
    <w:p w:rsidR="00C90ABA" w:rsidRDefault="00C90ABA" w:rsidP="00C90ABA">
      <w:pPr>
        <w:numPr>
          <w:ilvl w:val="0"/>
          <w:numId w:val="13"/>
        </w:numPr>
      </w:pPr>
      <w:r>
        <w:t>do wykonania robót ziemnych</w:t>
      </w:r>
    </w:p>
    <w:p w:rsidR="00C90ABA" w:rsidRDefault="00C90ABA" w:rsidP="00C90ABA">
      <w:pPr>
        <w:ind w:left="426" w:hanging="426"/>
      </w:pPr>
      <w:r>
        <w:tab/>
        <w:t xml:space="preserve">równiarki, walce, płyty wibracyjne, ubijaki mechaniczne itp. odpowiadające wymaganiom </w:t>
      </w:r>
      <w:r w:rsidR="00906FD6">
        <w:t>S</w:t>
      </w:r>
      <w:r>
        <w:t>ST D-02.00.00 [3].</w:t>
      </w:r>
    </w:p>
    <w:p w:rsidR="00C90ABA" w:rsidRDefault="00C90ABA" w:rsidP="00C90ABA">
      <w:pPr>
        <w:pStyle w:val="Nagwek1"/>
      </w:pPr>
      <w:bookmarkStart w:id="25" w:name="_Toc63657591"/>
      <w:bookmarkStart w:id="26" w:name="_Toc41966532"/>
      <w:r>
        <w:t>4. TRANSPORT</w:t>
      </w:r>
      <w:bookmarkEnd w:id="25"/>
      <w:bookmarkEnd w:id="26"/>
    </w:p>
    <w:p w:rsidR="00C90ABA" w:rsidRDefault="00C90ABA" w:rsidP="00C90ABA">
      <w:pPr>
        <w:pStyle w:val="Nagwek2"/>
      </w:pPr>
      <w:r>
        <w:t>4.1. Ogólne wymagania dotyczące transportu</w:t>
      </w:r>
    </w:p>
    <w:p w:rsidR="00C90ABA" w:rsidRDefault="00C90ABA" w:rsidP="00C90ABA">
      <w:r>
        <w:tab/>
      </w:r>
      <w:r w:rsidR="00906FD6">
        <w:t>W</w:t>
      </w:r>
      <w:r>
        <w:t xml:space="preserve">ymagania dotyczące transportu podano w </w:t>
      </w:r>
      <w:r w:rsidR="00906FD6">
        <w:t>S</w:t>
      </w:r>
      <w:r>
        <w:t>ST D-M-00.00.00 „Wymagania ogólne” [1] pkt 4.</w:t>
      </w:r>
    </w:p>
    <w:p w:rsidR="00C90ABA" w:rsidRDefault="00C90ABA" w:rsidP="00C90ABA">
      <w:pPr>
        <w:pStyle w:val="Nagwek2"/>
      </w:pPr>
      <w:r>
        <w:t>4.2. Transport materiałów</w:t>
      </w:r>
    </w:p>
    <w:p w:rsidR="00C90ABA" w:rsidRDefault="00C90ABA" w:rsidP="00C90ABA">
      <w:r>
        <w:tab/>
        <w:t>Geosyntetyki mogą być transportowane dowolnymi środkami transportu, pod warunkiem:</w:t>
      </w:r>
    </w:p>
    <w:p w:rsidR="00C90ABA" w:rsidRDefault="00C90ABA" w:rsidP="00C90ABA">
      <w:pPr>
        <w:numPr>
          <w:ilvl w:val="0"/>
          <w:numId w:val="3"/>
        </w:numPr>
      </w:pPr>
      <w:r>
        <w:t>opakowania bel (rolek) folią, brezentem lub tkaniną techniczną,</w:t>
      </w:r>
    </w:p>
    <w:p w:rsidR="00C90ABA" w:rsidRDefault="00C90ABA" w:rsidP="00C90ABA">
      <w:pPr>
        <w:numPr>
          <w:ilvl w:val="0"/>
          <w:numId w:val="3"/>
        </w:numPr>
      </w:pPr>
      <w:r>
        <w:t>zabezpieczenia opakowanych bel przed przemieszczaniem się w czasie przewozu,</w:t>
      </w:r>
    </w:p>
    <w:p w:rsidR="00C90ABA" w:rsidRDefault="00C90ABA" w:rsidP="00C90ABA">
      <w:pPr>
        <w:numPr>
          <w:ilvl w:val="0"/>
          <w:numId w:val="3"/>
        </w:numPr>
      </w:pPr>
      <w:r>
        <w:t>ochrony przed zawilgoceniem i nadmiernym ogrzaniem,</w:t>
      </w:r>
    </w:p>
    <w:p w:rsidR="00C90ABA" w:rsidRDefault="00C90ABA" w:rsidP="00C90ABA">
      <w:pPr>
        <w:numPr>
          <w:ilvl w:val="0"/>
          <w:numId w:val="3"/>
        </w:numPr>
      </w:pPr>
      <w:r>
        <w:t>niedopuszczenia do kontaktu bel z chemikaliami, tłuszczami oraz przedmiotami mogącymi przebić lub rozciąć geowłókniny.</w:t>
      </w:r>
    </w:p>
    <w:p w:rsidR="00C90ABA" w:rsidRDefault="00C90ABA" w:rsidP="00C90ABA">
      <w:r>
        <w:tab/>
        <w:t>Materiał ziemny na nasypy powinien być przewożony zgodnie z wymaganiami OST D-02.00.00 [3].</w:t>
      </w:r>
    </w:p>
    <w:p w:rsidR="00C90ABA" w:rsidRDefault="00C90ABA" w:rsidP="00C90ABA">
      <w:pPr>
        <w:pStyle w:val="Nagwek1"/>
        <w:numPr>
          <w:ilvl w:val="12"/>
          <w:numId w:val="0"/>
        </w:numPr>
      </w:pPr>
      <w:bookmarkStart w:id="27" w:name="_Toc63657592"/>
      <w:bookmarkStart w:id="28" w:name="_Toc42653952"/>
      <w:bookmarkStart w:id="29" w:name="_Toc41966533"/>
      <w:bookmarkStart w:id="30" w:name="_Toc485797030"/>
      <w:bookmarkStart w:id="31" w:name="_Toc485703813"/>
      <w:bookmarkStart w:id="32" w:name="_Toc485608034"/>
      <w:bookmarkStart w:id="33" w:name="_Toc485450214"/>
      <w:r>
        <w:t>5. wykonanie robót</w:t>
      </w:r>
      <w:bookmarkEnd w:id="27"/>
      <w:bookmarkEnd w:id="28"/>
      <w:bookmarkEnd w:id="29"/>
      <w:bookmarkEnd w:id="30"/>
      <w:bookmarkEnd w:id="31"/>
      <w:bookmarkEnd w:id="32"/>
      <w:bookmarkEnd w:id="33"/>
    </w:p>
    <w:p w:rsidR="00C90ABA" w:rsidRDefault="00C90ABA" w:rsidP="00C90ABA">
      <w:pPr>
        <w:pStyle w:val="Nagwek2"/>
        <w:numPr>
          <w:ilvl w:val="12"/>
          <w:numId w:val="0"/>
        </w:numPr>
      </w:pPr>
      <w:r>
        <w:t>5.1. Ogólne zasady wykonania robót</w:t>
      </w:r>
    </w:p>
    <w:p w:rsidR="00C90ABA" w:rsidRDefault="00C90ABA" w:rsidP="00C90ABA">
      <w:pPr>
        <w:numPr>
          <w:ilvl w:val="12"/>
          <w:numId w:val="0"/>
        </w:numPr>
      </w:pPr>
      <w:r>
        <w:tab/>
      </w:r>
      <w:r w:rsidR="00906FD6">
        <w:t>Z</w:t>
      </w:r>
      <w:r>
        <w:t xml:space="preserve">asady wykonania robót podano w </w:t>
      </w:r>
      <w:r w:rsidR="00906FD6">
        <w:t>S</w:t>
      </w:r>
      <w:r>
        <w:t>ST D-M-00.00.00 „Wymagania ogólne” [1] pkt 5.</w:t>
      </w:r>
    </w:p>
    <w:p w:rsidR="00C90ABA" w:rsidRDefault="00C90ABA" w:rsidP="00C90ABA">
      <w:pPr>
        <w:pStyle w:val="Nagwek2"/>
        <w:numPr>
          <w:ilvl w:val="12"/>
          <w:numId w:val="0"/>
        </w:numPr>
      </w:pPr>
      <w:r>
        <w:t>5.2. Zasady wykonywania robót</w:t>
      </w:r>
    </w:p>
    <w:p w:rsidR="00C90ABA" w:rsidRDefault="00C90ABA" w:rsidP="00C90ABA">
      <w:pPr>
        <w:numPr>
          <w:ilvl w:val="12"/>
          <w:numId w:val="0"/>
        </w:numPr>
      </w:pPr>
      <w:r>
        <w:tab/>
        <w:t>Konstrukcja i sposób wykonania wzmocnienia geosyntetykiem podłoża nasypu powinny być zgodne z dokumentacją techniczną i SST. W przypadku braku wystarczających danych można korzystać z ustaleń podanych w niniejszej specyfikacji, pod warunkiem uzyskania akceptacji Inżyniera. Dotyczy to m.in. zasad wzmocnienia podstawy nasypu, podanych w załączniku 2 i budowy dróg tymczasowych z zastosowaniem geowłóknin, podanych w załączniku 3.</w:t>
      </w:r>
    </w:p>
    <w:p w:rsidR="00C90ABA" w:rsidRDefault="00C90ABA" w:rsidP="00C90ABA">
      <w:pPr>
        <w:pStyle w:val="Nagwek2"/>
        <w:numPr>
          <w:ilvl w:val="12"/>
          <w:numId w:val="0"/>
        </w:numPr>
      </w:pPr>
      <w:r>
        <w:t>5.3. Roboty przygotowawcze</w:t>
      </w:r>
    </w:p>
    <w:p w:rsidR="00C90ABA" w:rsidRDefault="00C90ABA" w:rsidP="00C90ABA">
      <w:pPr>
        <w:numPr>
          <w:ilvl w:val="12"/>
          <w:numId w:val="0"/>
        </w:numPr>
      </w:pPr>
      <w:r>
        <w:tab/>
        <w:t>Roboty przygotowawcze dotyczą ustalenia lokalizacji nasypu, odtworzenia trasy, ew. usunięcia przeszkód, przygotowania podłoża i ew. usunięcia górnej warstwy podłoża słabonośnego.</w:t>
      </w:r>
    </w:p>
    <w:p w:rsidR="00C90ABA" w:rsidRDefault="00C90ABA" w:rsidP="00C90ABA">
      <w:pPr>
        <w:numPr>
          <w:ilvl w:val="12"/>
          <w:numId w:val="0"/>
        </w:numPr>
      </w:pPr>
      <w:r>
        <w:tab/>
        <w:t xml:space="preserve">Odtworzenie trasy i punktów wysokościowych, usunięcie drzew, krzaków, humusu, darniny i roboty rozbiórkowe powinny odpowiadać wymaganiom </w:t>
      </w:r>
      <w:r w:rsidR="00906FD6">
        <w:t>S</w:t>
      </w:r>
      <w:r>
        <w:t>ST D-01.00.00 [2].</w:t>
      </w:r>
    </w:p>
    <w:p w:rsidR="00C90ABA" w:rsidRDefault="00C90ABA" w:rsidP="00C90ABA">
      <w:pPr>
        <w:numPr>
          <w:ilvl w:val="12"/>
          <w:numId w:val="0"/>
        </w:numPr>
      </w:pPr>
      <w:r>
        <w:tab/>
        <w:t>Przygotowanie podłoża wymaga:</w:t>
      </w:r>
    </w:p>
    <w:p w:rsidR="00C90ABA" w:rsidRDefault="00C90ABA" w:rsidP="00C90ABA">
      <w:pPr>
        <w:numPr>
          <w:ilvl w:val="0"/>
          <w:numId w:val="3"/>
        </w:numPr>
      </w:pPr>
      <w:r>
        <w:t>usunięcia drzew, krzewów, korzeni, większych kamieni, które mogłyby uszkodzić materiał geotekstylny, a także ziemi roślinnej, o ile jest to możliwe (np. na torfach nie jest wskazane usuwanie tzw. kożucha),</w:t>
      </w:r>
    </w:p>
    <w:p w:rsidR="00C90ABA" w:rsidRDefault="00C90ABA" w:rsidP="00C90ABA">
      <w:pPr>
        <w:numPr>
          <w:ilvl w:val="0"/>
          <w:numId w:val="3"/>
        </w:numPr>
      </w:pPr>
      <w:r>
        <w:t>wyrównania powierzchni, najlepiej przez ścięcie łyżką w ruchu do tyłu, aby układany materiał geotekstylny przylegał na całej powierzchni do podłoża.</w:t>
      </w:r>
    </w:p>
    <w:p w:rsidR="00C90ABA" w:rsidRDefault="00C90ABA" w:rsidP="00C90ABA">
      <w:pPr>
        <w:pStyle w:val="Nagwek2"/>
      </w:pPr>
      <w:r>
        <w:t>5.4. Układanie i zasypywanie geosyntetyków</w:t>
      </w:r>
    </w:p>
    <w:p w:rsidR="00C90ABA" w:rsidRDefault="00C90ABA" w:rsidP="00C90ABA">
      <w:pPr>
        <w:numPr>
          <w:ilvl w:val="12"/>
          <w:numId w:val="0"/>
        </w:numPr>
      </w:pPr>
      <w:r>
        <w:tab/>
        <w:t>Geosyntetyki należy układać na podstawie planu, określającego wymiary pasm, kierunek postępu robót, kolejność układania pasm, szerokość zakładów, sposób łączenia, mocowania tymczasowego itp. Wskazany jest kierunek układania „pod górę”.</w:t>
      </w:r>
    </w:p>
    <w:p w:rsidR="00C90ABA" w:rsidRDefault="00C90ABA" w:rsidP="00C90ABA">
      <w:pPr>
        <w:numPr>
          <w:ilvl w:val="12"/>
          <w:numId w:val="0"/>
        </w:numPr>
      </w:pPr>
      <w:r>
        <w:tab/>
        <w:t xml:space="preserve">Geosyntetyki należy tak układać, by pasma leżały poprzecznie do kierunku zasypywania. Zakłady sąsiednich pasm powinny wynosić 30-50 cm, na podłożu bardzo słabym (CBR </w:t>
      </w:r>
      <w:r>
        <w:sym w:font="Symbol" w:char="F0A3"/>
      </w:r>
      <w:r>
        <w:t xml:space="preserve"> 2%) i nierównym lub w bieżącej wodzie - nawet 100 cm. Jeżeli pokrywana powierzchnia jest węższa niż dwie szerokości pasma, to można je układać wzdłuż osi. Należy wówczas szczególnie przestrzegać zachowania zakładu pasm. Aby zapobiec przemieszczaniu np. przez wiatr, pasma należy przymocować (np. wbitymi w grunt prętami w kształcie U) lub chwilowo obciążyć (np. pryzmami gruntu, workami z gruntem itp.). W uzasadnionych przypadkach wymagane jest łączenie pasm, najczęściej na budowie za pomocą zszycia, połączeń specjalnych itp.</w:t>
      </w:r>
    </w:p>
    <w:p w:rsidR="00C90ABA" w:rsidRDefault="00C90ABA" w:rsidP="00C90ABA">
      <w:pPr>
        <w:numPr>
          <w:ilvl w:val="12"/>
          <w:numId w:val="0"/>
        </w:numPr>
      </w:pPr>
      <w:r>
        <w:tab/>
        <w:t>Wskazane jest stosowanie pasm jak najszerszych (około 5 m), gdyż mniej jest zakładów i połączeń. W przypadku dysponowania wąskimi pasmami (1,5-3 m) korzystny jest układ krzyżowy z przeplecionych prostopadłych pasm, rozwijanych poprzecznie i podłużnie. Układ taki zapewnia skuteczną dwukierunkową współpracę materiału.</w:t>
      </w:r>
    </w:p>
    <w:p w:rsidR="00C90ABA" w:rsidRDefault="00C90ABA" w:rsidP="00C90ABA">
      <w:pPr>
        <w:numPr>
          <w:ilvl w:val="12"/>
          <w:numId w:val="0"/>
        </w:numPr>
      </w:pPr>
      <w:r>
        <w:tab/>
        <w:t>Jeżeli szerokość wyrobu nie jest dostosowana do wymiarów konstrukcji, to rolki materiału można ciąć na potrzebny wymiar za pomocą odpowiednich urządzeń, np. piły mechanicznej. Nie należy przy tym dopuszczać do miejscowego topienia materiału, aby nie spowodować sklejania warstw rolki.</w:t>
      </w:r>
    </w:p>
    <w:p w:rsidR="00C90ABA" w:rsidRDefault="00C90ABA" w:rsidP="00C90ABA">
      <w:pPr>
        <w:numPr>
          <w:ilvl w:val="12"/>
          <w:numId w:val="0"/>
        </w:numPr>
      </w:pPr>
      <w:r>
        <w:tab/>
        <w:t>Zasypywanie powinno następować od czoła pasma na ułożony materiał, po czym zasypka jest rozkładana na całej powierzchni odpowiednim urządzeniem, najczęściej spycharką, a tylko wyjątkowo ręcznie. Duże kamienie nie powinny być zrzucane z większej wysokości, by nie niszczyć geosyntetyków. W takim przypadku celowe jest układanie najpierw bezpośrednio na materiale warstwy bez kamieni. Pasma należy układać „dachówkowo”, aby przesuwanie zasypki nie powodowało podrywania materiału.</w:t>
      </w:r>
    </w:p>
    <w:p w:rsidR="00C90ABA" w:rsidRDefault="00C90ABA" w:rsidP="00C90ABA">
      <w:pPr>
        <w:numPr>
          <w:ilvl w:val="12"/>
          <w:numId w:val="0"/>
        </w:numPr>
      </w:pPr>
      <w:r>
        <w:tab/>
        <w:t>Niedopuszczalny jest ruch pojazdów gąsienicowych, walców okołkowanych i innych ciężkich maszyn bezpośrednio po ułożonym materiale geotekstylnym. Wymagana jest warstwa zasypki co najmniej 25-30 cm. Za zgodą Inżyniera można dopuścić ruch ciężkich pojazdów kołowych po materiale, jeśli powstanie kolein powoduje wybranie luzów i napięcie materiału, dzięki czemu lepiej przeciwdziała on odkształceniom gruntu. Koleiny następnie wypełnia się zasypką.</w:t>
      </w:r>
    </w:p>
    <w:p w:rsidR="00C90ABA" w:rsidRDefault="00C90ABA" w:rsidP="00C90ABA">
      <w:pPr>
        <w:numPr>
          <w:ilvl w:val="12"/>
          <w:numId w:val="0"/>
        </w:numPr>
      </w:pPr>
      <w:r>
        <w:tab/>
        <w:t xml:space="preserve">Sposób wykonania nasypu powinien być zgodny z ustaleniami dokumentacji projektowej i odpowiadać wymaganiom </w:t>
      </w:r>
      <w:r w:rsidR="00906FD6">
        <w:t>S</w:t>
      </w:r>
      <w:r>
        <w:t>ST D-02.00.00 [3].</w:t>
      </w:r>
    </w:p>
    <w:p w:rsidR="00C90ABA" w:rsidRDefault="00C90ABA" w:rsidP="00C90ABA">
      <w:pPr>
        <w:pStyle w:val="Nagwek2"/>
        <w:numPr>
          <w:ilvl w:val="12"/>
          <w:numId w:val="0"/>
        </w:numPr>
      </w:pPr>
      <w:r>
        <w:t>5.5. Inne roboty</w:t>
      </w:r>
    </w:p>
    <w:p w:rsidR="00C90ABA" w:rsidRDefault="00C90ABA" w:rsidP="00C90ABA">
      <w:pPr>
        <w:numPr>
          <w:ilvl w:val="12"/>
          <w:numId w:val="0"/>
        </w:numPr>
      </w:pPr>
      <w:r>
        <w:tab/>
        <w:t>Do innych robót, nie należących bezpośrednio do zakresu robót przy wzmocnieniu geosyntetykiem podłoża nasypu mogą należeć: nawierzchnia, urządzenia bezpieczeństwa ruchu, elementy odwodnienia, umocnienie skarp itp., które powinny być ujęte w osobnych pozycjach kosztorysowych.</w:t>
      </w:r>
    </w:p>
    <w:p w:rsidR="00C90ABA" w:rsidRDefault="00C90ABA" w:rsidP="00C90ABA">
      <w:pPr>
        <w:pStyle w:val="Nagwek1"/>
        <w:numPr>
          <w:ilvl w:val="12"/>
          <w:numId w:val="0"/>
        </w:numPr>
      </w:pPr>
      <w:bookmarkStart w:id="34" w:name="_Toc63657593"/>
      <w:bookmarkStart w:id="35" w:name="_Toc42653953"/>
      <w:bookmarkStart w:id="36" w:name="_Toc41966534"/>
      <w:bookmarkStart w:id="37" w:name="_Toc25379401"/>
      <w:bookmarkStart w:id="38" w:name="_Toc25373385"/>
      <w:bookmarkStart w:id="39" w:name="_Toc25128887"/>
      <w:bookmarkStart w:id="40" w:name="_Toc24955913"/>
      <w:bookmarkStart w:id="41" w:name="_Toc421940501"/>
      <w:r>
        <w:t>6. kontrola jakości robót</w:t>
      </w:r>
      <w:bookmarkEnd w:id="34"/>
      <w:bookmarkEnd w:id="35"/>
      <w:bookmarkEnd w:id="36"/>
      <w:bookmarkEnd w:id="37"/>
      <w:bookmarkEnd w:id="38"/>
      <w:bookmarkEnd w:id="39"/>
      <w:bookmarkEnd w:id="40"/>
      <w:bookmarkEnd w:id="41"/>
    </w:p>
    <w:p w:rsidR="00C90ABA" w:rsidRDefault="00C90ABA" w:rsidP="00C90ABA">
      <w:pPr>
        <w:pStyle w:val="Nagwek2"/>
        <w:numPr>
          <w:ilvl w:val="12"/>
          <w:numId w:val="0"/>
        </w:numPr>
      </w:pPr>
      <w:r>
        <w:t>6.1. Ogólne zasady kontroli jakości robót</w:t>
      </w:r>
    </w:p>
    <w:p w:rsidR="00C90ABA" w:rsidRDefault="00906FD6" w:rsidP="00C90ABA">
      <w:pPr>
        <w:numPr>
          <w:ilvl w:val="12"/>
          <w:numId w:val="0"/>
        </w:numPr>
      </w:pPr>
      <w:r>
        <w:tab/>
        <w:t>Z</w:t>
      </w:r>
      <w:r w:rsidR="00C90ABA">
        <w:t xml:space="preserve">asady kontroli jakości robót podano w </w:t>
      </w:r>
      <w:r>
        <w:t>S</w:t>
      </w:r>
      <w:r w:rsidR="00C90ABA">
        <w:t>ST   D-M-00.00.00 „Wymagania ogólne” [1] pkt 6.</w:t>
      </w:r>
    </w:p>
    <w:p w:rsidR="00C90ABA" w:rsidRDefault="00C90ABA" w:rsidP="00C90ABA">
      <w:pPr>
        <w:pStyle w:val="Nagwek2"/>
        <w:numPr>
          <w:ilvl w:val="12"/>
          <w:numId w:val="0"/>
        </w:numPr>
      </w:pPr>
      <w:r>
        <w:t>6.2. Badania przed przystąpieniem do robót</w:t>
      </w:r>
    </w:p>
    <w:p w:rsidR="00C90ABA" w:rsidRDefault="00C90ABA" w:rsidP="00C90ABA">
      <w:pPr>
        <w:numPr>
          <w:ilvl w:val="12"/>
          <w:numId w:val="0"/>
        </w:numPr>
      </w:pPr>
      <w:r>
        <w:tab/>
        <w:t>Przed przystąpieniem do robót Wykonawca powinien:</w:t>
      </w:r>
    </w:p>
    <w:p w:rsidR="00C90ABA" w:rsidRDefault="00C90ABA" w:rsidP="00C90ABA">
      <w:pPr>
        <w:numPr>
          <w:ilvl w:val="0"/>
          <w:numId w:val="14"/>
        </w:numPr>
      </w:pPr>
      <w:r>
        <w:t>uzyskać wymagane dokumenty, dopuszczające wyroby budowlane do obrotu i powszechnego stosowania (certyfikaty na znak bezpieczeństwa, aprobaty techniczne, certyfikaty zgodności, deklaracje zgodności, ew. badania materiałów wykonane przez dostawców itp.),</w:t>
      </w:r>
    </w:p>
    <w:p w:rsidR="00C90ABA" w:rsidRDefault="00C90ABA" w:rsidP="00C90ABA">
      <w:pPr>
        <w:numPr>
          <w:ilvl w:val="0"/>
          <w:numId w:val="14"/>
        </w:numPr>
      </w:pPr>
      <w:r>
        <w:t xml:space="preserve"> sprawdzić cechy zewnętrzne gotowych materiałów z tworzyw.</w:t>
      </w:r>
    </w:p>
    <w:p w:rsidR="00C90ABA" w:rsidRDefault="00C90ABA" w:rsidP="00C90ABA">
      <w:r>
        <w:tab/>
        <w:t>Wszystkie dokumenty oraz wyniki badań Wykonawca przedstawia Inżynierowi do akceptacji.</w:t>
      </w:r>
    </w:p>
    <w:p w:rsidR="00C90ABA" w:rsidRDefault="00C90ABA" w:rsidP="00C90ABA">
      <w:pPr>
        <w:pStyle w:val="Nagwek2"/>
        <w:numPr>
          <w:ilvl w:val="12"/>
          <w:numId w:val="0"/>
        </w:numPr>
      </w:pPr>
      <w:r>
        <w:t>6.3. Badania w czasie robót</w:t>
      </w:r>
    </w:p>
    <w:p w:rsidR="00C90ABA" w:rsidRDefault="00C90ABA" w:rsidP="00C90ABA">
      <w:pPr>
        <w:numPr>
          <w:ilvl w:val="12"/>
          <w:numId w:val="0"/>
        </w:numPr>
      </w:pPr>
      <w:r>
        <w:tab/>
        <w:t>Częstotliwość oraz zakres badań i pomiarów, które należy wykonać w czasie robót podaje tablica 1.</w:t>
      </w:r>
    </w:p>
    <w:p w:rsidR="00C90ABA" w:rsidRDefault="00C90ABA" w:rsidP="00C90ABA">
      <w:pPr>
        <w:numPr>
          <w:ilvl w:val="12"/>
          <w:numId w:val="0"/>
        </w:numPr>
        <w:spacing w:before="120" w:after="120"/>
      </w:pPr>
      <w: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43"/>
        <w:gridCol w:w="1560"/>
        <w:gridCol w:w="1984"/>
      </w:tblGrid>
      <w:tr w:rsidR="00C90ABA" w:rsidTr="00C90ABA">
        <w:tc>
          <w:tcPr>
            <w:tcW w:w="496" w:type="dxa"/>
            <w:tcBorders>
              <w:top w:val="single" w:sz="6" w:space="0" w:color="auto"/>
              <w:left w:val="single" w:sz="6" w:space="0" w:color="auto"/>
              <w:bottom w:val="double" w:sz="6" w:space="0" w:color="auto"/>
              <w:right w:val="single" w:sz="6" w:space="0" w:color="auto"/>
            </w:tcBorders>
            <w:hideMark/>
          </w:tcPr>
          <w:p w:rsidR="00C90ABA" w:rsidRDefault="00C90ABA">
            <w:pPr>
              <w:numPr>
                <w:ilvl w:val="12"/>
                <w:numId w:val="0"/>
              </w:numPr>
              <w:spacing w:before="180" w:after="60"/>
              <w:jc w:val="center"/>
            </w:pPr>
            <w:r>
              <w:t>Lp.</w:t>
            </w:r>
          </w:p>
        </w:tc>
        <w:tc>
          <w:tcPr>
            <w:tcW w:w="3543" w:type="dxa"/>
            <w:tcBorders>
              <w:top w:val="single" w:sz="6" w:space="0" w:color="auto"/>
              <w:left w:val="single" w:sz="6" w:space="0" w:color="auto"/>
              <w:bottom w:val="double" w:sz="6" w:space="0" w:color="auto"/>
              <w:right w:val="single" w:sz="6" w:space="0" w:color="auto"/>
            </w:tcBorders>
            <w:hideMark/>
          </w:tcPr>
          <w:p w:rsidR="00C90ABA" w:rsidRDefault="00C90ABA">
            <w:pPr>
              <w:numPr>
                <w:ilvl w:val="12"/>
                <w:numId w:val="0"/>
              </w:numPr>
              <w:spacing w:before="180" w:after="60"/>
              <w:jc w:val="center"/>
            </w:pPr>
            <w:r>
              <w:t>Wyszczególnienie badań i pomiarów</w:t>
            </w:r>
          </w:p>
        </w:tc>
        <w:tc>
          <w:tcPr>
            <w:tcW w:w="1560" w:type="dxa"/>
            <w:tcBorders>
              <w:top w:val="single" w:sz="6" w:space="0" w:color="auto"/>
              <w:left w:val="single" w:sz="6" w:space="0" w:color="auto"/>
              <w:bottom w:val="double" w:sz="6" w:space="0" w:color="auto"/>
              <w:right w:val="single" w:sz="6" w:space="0" w:color="auto"/>
            </w:tcBorders>
            <w:hideMark/>
          </w:tcPr>
          <w:p w:rsidR="00C90ABA" w:rsidRDefault="00C90ABA">
            <w:pPr>
              <w:numPr>
                <w:ilvl w:val="12"/>
                <w:numId w:val="0"/>
              </w:numPr>
              <w:spacing w:before="60" w:after="60"/>
              <w:jc w:val="center"/>
            </w:pPr>
            <w:r>
              <w:t>Częstotliwość badań</w:t>
            </w:r>
          </w:p>
        </w:tc>
        <w:tc>
          <w:tcPr>
            <w:tcW w:w="1984" w:type="dxa"/>
            <w:tcBorders>
              <w:top w:val="single" w:sz="6" w:space="0" w:color="auto"/>
              <w:left w:val="single" w:sz="6" w:space="0" w:color="auto"/>
              <w:bottom w:val="double" w:sz="6" w:space="0" w:color="auto"/>
              <w:right w:val="single" w:sz="6" w:space="0" w:color="auto"/>
            </w:tcBorders>
            <w:hideMark/>
          </w:tcPr>
          <w:p w:rsidR="00C90ABA" w:rsidRDefault="00C90ABA">
            <w:pPr>
              <w:numPr>
                <w:ilvl w:val="12"/>
                <w:numId w:val="0"/>
              </w:numPr>
              <w:spacing w:before="60" w:after="60"/>
              <w:jc w:val="center"/>
            </w:pPr>
            <w:r>
              <w:t>Wartości dopuszczalne</w:t>
            </w:r>
          </w:p>
        </w:tc>
      </w:tr>
      <w:tr w:rsidR="00C90ABA" w:rsidTr="00C90ABA">
        <w:tc>
          <w:tcPr>
            <w:tcW w:w="496" w:type="dxa"/>
            <w:tcBorders>
              <w:top w:val="nil"/>
              <w:left w:val="single" w:sz="6" w:space="0" w:color="auto"/>
              <w:bottom w:val="single" w:sz="6" w:space="0" w:color="auto"/>
              <w:right w:val="single" w:sz="6" w:space="0" w:color="auto"/>
            </w:tcBorders>
            <w:hideMark/>
          </w:tcPr>
          <w:p w:rsidR="00C90ABA" w:rsidRDefault="00C90ABA">
            <w:pPr>
              <w:numPr>
                <w:ilvl w:val="12"/>
                <w:numId w:val="0"/>
              </w:numPr>
              <w:spacing w:before="60" w:after="60"/>
              <w:jc w:val="center"/>
            </w:pPr>
            <w:r>
              <w:t>1</w:t>
            </w:r>
          </w:p>
        </w:tc>
        <w:tc>
          <w:tcPr>
            <w:tcW w:w="3543" w:type="dxa"/>
            <w:tcBorders>
              <w:top w:val="nil"/>
              <w:left w:val="single" w:sz="6" w:space="0" w:color="auto"/>
              <w:bottom w:val="single" w:sz="6" w:space="0" w:color="auto"/>
              <w:right w:val="single" w:sz="6" w:space="0" w:color="auto"/>
            </w:tcBorders>
            <w:hideMark/>
          </w:tcPr>
          <w:p w:rsidR="00C90ABA" w:rsidRDefault="00C90ABA">
            <w:pPr>
              <w:numPr>
                <w:ilvl w:val="12"/>
                <w:numId w:val="0"/>
              </w:numPr>
              <w:spacing w:before="60" w:after="60"/>
              <w:jc w:val="left"/>
            </w:pPr>
            <w:r>
              <w:t>Oczyszczenie i wyrównanie terenu</w:t>
            </w:r>
          </w:p>
        </w:tc>
        <w:tc>
          <w:tcPr>
            <w:tcW w:w="1560" w:type="dxa"/>
            <w:tcBorders>
              <w:top w:val="nil"/>
              <w:left w:val="single" w:sz="6" w:space="0" w:color="auto"/>
              <w:bottom w:val="single" w:sz="6" w:space="0" w:color="auto"/>
              <w:right w:val="single" w:sz="6" w:space="0" w:color="auto"/>
            </w:tcBorders>
            <w:hideMark/>
          </w:tcPr>
          <w:p w:rsidR="00C90ABA" w:rsidRDefault="00C90ABA">
            <w:pPr>
              <w:numPr>
                <w:ilvl w:val="12"/>
                <w:numId w:val="0"/>
              </w:numPr>
              <w:spacing w:before="60" w:after="60"/>
              <w:jc w:val="center"/>
            </w:pPr>
            <w:r>
              <w:t>Całe podłoże</w:t>
            </w:r>
          </w:p>
        </w:tc>
        <w:tc>
          <w:tcPr>
            <w:tcW w:w="1984" w:type="dxa"/>
            <w:tcBorders>
              <w:top w:val="nil"/>
              <w:left w:val="single" w:sz="6" w:space="0" w:color="auto"/>
              <w:bottom w:val="single" w:sz="6" w:space="0" w:color="auto"/>
              <w:right w:val="single" w:sz="6" w:space="0" w:color="auto"/>
            </w:tcBorders>
            <w:hideMark/>
          </w:tcPr>
          <w:p w:rsidR="00C90ABA" w:rsidRDefault="00C90ABA">
            <w:pPr>
              <w:numPr>
                <w:ilvl w:val="12"/>
                <w:numId w:val="0"/>
              </w:numPr>
              <w:spacing w:before="60" w:after="60"/>
              <w:jc w:val="center"/>
            </w:pPr>
            <w:r>
              <w:t>Wg pktu 5.3</w:t>
            </w:r>
          </w:p>
        </w:tc>
      </w:tr>
      <w:tr w:rsidR="00C90ABA" w:rsidTr="00C90ABA">
        <w:tc>
          <w:tcPr>
            <w:tcW w:w="496"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120"/>
              <w:jc w:val="center"/>
            </w:pPr>
            <w:r>
              <w:t>2</w:t>
            </w:r>
          </w:p>
        </w:tc>
        <w:tc>
          <w:tcPr>
            <w:tcW w:w="3543"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120"/>
              <w:jc w:val="left"/>
            </w:pPr>
            <w:r>
              <w:t>Zgodność z dokumentacją projektową</w:t>
            </w:r>
          </w:p>
        </w:tc>
        <w:tc>
          <w:tcPr>
            <w:tcW w:w="1560"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120"/>
              <w:jc w:val="center"/>
            </w:pPr>
            <w:r>
              <w:t xml:space="preserve"> Kontrola bieżąca</w:t>
            </w:r>
          </w:p>
        </w:tc>
        <w:tc>
          <w:tcPr>
            <w:tcW w:w="1984"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center"/>
            </w:pPr>
            <w:r>
              <w:t xml:space="preserve"> Wg dokumentacji projektowej</w:t>
            </w:r>
          </w:p>
        </w:tc>
      </w:tr>
      <w:tr w:rsidR="00C90ABA" w:rsidTr="00C90ABA">
        <w:tc>
          <w:tcPr>
            <w:tcW w:w="496"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center"/>
            </w:pPr>
            <w:r>
              <w:t>3</w:t>
            </w:r>
          </w:p>
        </w:tc>
        <w:tc>
          <w:tcPr>
            <w:tcW w:w="3543"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left"/>
            </w:pPr>
            <w:r>
              <w:t>Prawidłowość ułożenia geosyntetyku, przyleganie do gruntu, wymiary, wielkość zakładu itp.</w:t>
            </w:r>
          </w:p>
        </w:tc>
        <w:tc>
          <w:tcPr>
            <w:tcW w:w="1560" w:type="dxa"/>
            <w:tcBorders>
              <w:top w:val="single" w:sz="6" w:space="0" w:color="auto"/>
              <w:left w:val="single" w:sz="6" w:space="0" w:color="auto"/>
              <w:bottom w:val="single" w:sz="6" w:space="0" w:color="auto"/>
              <w:right w:val="single" w:sz="6" w:space="0" w:color="auto"/>
            </w:tcBorders>
          </w:tcPr>
          <w:p w:rsidR="00C90ABA" w:rsidRDefault="00C90ABA">
            <w:pPr>
              <w:numPr>
                <w:ilvl w:val="12"/>
                <w:numId w:val="0"/>
              </w:numPr>
              <w:jc w:val="center"/>
            </w:pPr>
          </w:p>
          <w:p w:rsidR="00C90ABA" w:rsidRDefault="00C90ABA">
            <w:pPr>
              <w:numPr>
                <w:ilvl w:val="12"/>
                <w:numId w:val="0"/>
              </w:numPr>
              <w:jc w:val="center"/>
            </w:pPr>
            <w:r>
              <w:t>Jw.</w:t>
            </w:r>
          </w:p>
        </w:tc>
        <w:tc>
          <w:tcPr>
            <w:tcW w:w="1984"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center"/>
            </w:pPr>
            <w:r>
              <w:t xml:space="preserve"> Wg dokumentacji projektowej, aprobaty technicznej i pktu 5.4</w:t>
            </w:r>
          </w:p>
        </w:tc>
      </w:tr>
      <w:tr w:rsidR="00C90ABA" w:rsidTr="00C90ABA">
        <w:tc>
          <w:tcPr>
            <w:tcW w:w="496"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center"/>
            </w:pPr>
            <w:r>
              <w:t>4</w:t>
            </w:r>
          </w:p>
        </w:tc>
        <w:tc>
          <w:tcPr>
            <w:tcW w:w="3543"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left"/>
            </w:pPr>
            <w:r>
              <w:t>Zabezpieczenie geosyntetyku przed przemieszczeniem, prawidłowość połą-czeń, zakotwień, balastu itp.</w:t>
            </w:r>
          </w:p>
        </w:tc>
        <w:tc>
          <w:tcPr>
            <w:tcW w:w="1560" w:type="dxa"/>
            <w:tcBorders>
              <w:top w:val="single" w:sz="6" w:space="0" w:color="auto"/>
              <w:left w:val="single" w:sz="6" w:space="0" w:color="auto"/>
              <w:bottom w:val="single" w:sz="6" w:space="0" w:color="auto"/>
              <w:right w:val="single" w:sz="6" w:space="0" w:color="auto"/>
            </w:tcBorders>
          </w:tcPr>
          <w:p w:rsidR="00C90ABA" w:rsidRDefault="00C90ABA">
            <w:pPr>
              <w:numPr>
                <w:ilvl w:val="12"/>
                <w:numId w:val="0"/>
              </w:numPr>
              <w:jc w:val="center"/>
            </w:pPr>
          </w:p>
          <w:p w:rsidR="00C90ABA" w:rsidRDefault="00C90ABA">
            <w:pPr>
              <w:numPr>
                <w:ilvl w:val="12"/>
                <w:numId w:val="0"/>
              </w:numPr>
              <w:jc w:val="center"/>
            </w:pPr>
            <w:r>
              <w:t xml:space="preserve">Jw.  </w:t>
            </w:r>
          </w:p>
        </w:tc>
        <w:tc>
          <w:tcPr>
            <w:tcW w:w="1984" w:type="dxa"/>
            <w:tcBorders>
              <w:top w:val="single" w:sz="6" w:space="0" w:color="auto"/>
              <w:left w:val="single" w:sz="6" w:space="0" w:color="auto"/>
              <w:bottom w:val="single" w:sz="6" w:space="0" w:color="auto"/>
              <w:right w:val="single" w:sz="6" w:space="0" w:color="auto"/>
            </w:tcBorders>
          </w:tcPr>
          <w:p w:rsidR="00C90ABA" w:rsidRDefault="00C90ABA">
            <w:pPr>
              <w:numPr>
                <w:ilvl w:val="12"/>
                <w:numId w:val="0"/>
              </w:numPr>
              <w:jc w:val="center"/>
            </w:pPr>
          </w:p>
          <w:p w:rsidR="00C90ABA" w:rsidRDefault="00C90ABA">
            <w:pPr>
              <w:numPr>
                <w:ilvl w:val="12"/>
                <w:numId w:val="0"/>
              </w:numPr>
              <w:jc w:val="center"/>
            </w:pPr>
            <w:r>
              <w:t xml:space="preserve"> Jw.</w:t>
            </w:r>
          </w:p>
        </w:tc>
      </w:tr>
      <w:tr w:rsidR="00C90ABA" w:rsidTr="00C90ABA">
        <w:tc>
          <w:tcPr>
            <w:tcW w:w="496"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60" w:after="60"/>
              <w:jc w:val="center"/>
            </w:pPr>
            <w:r>
              <w:t>5</w:t>
            </w:r>
          </w:p>
        </w:tc>
        <w:tc>
          <w:tcPr>
            <w:tcW w:w="3543"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60" w:after="60"/>
              <w:jc w:val="left"/>
            </w:pPr>
            <w:r>
              <w:t>Wykonanie nasypu</w:t>
            </w:r>
          </w:p>
        </w:tc>
        <w:tc>
          <w:tcPr>
            <w:tcW w:w="1560"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60" w:after="60"/>
              <w:jc w:val="center"/>
              <w:rPr>
                <w:lang w:val="de-DE"/>
              </w:rPr>
            </w:pPr>
            <w:r>
              <w:rPr>
                <w:lang w:val="de-DE"/>
              </w:rPr>
              <w:t xml:space="preserve">Jw.  </w:t>
            </w:r>
          </w:p>
        </w:tc>
        <w:tc>
          <w:tcPr>
            <w:tcW w:w="1984"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60" w:after="60"/>
              <w:jc w:val="center"/>
              <w:rPr>
                <w:lang w:val="de-DE"/>
              </w:rPr>
            </w:pPr>
            <w:r>
              <w:rPr>
                <w:lang w:val="de-DE"/>
              </w:rPr>
              <w:t xml:space="preserve">Wg OST D-02.00.00 </w:t>
            </w:r>
          </w:p>
        </w:tc>
      </w:tr>
      <w:tr w:rsidR="00C90ABA" w:rsidTr="00C90ABA">
        <w:tc>
          <w:tcPr>
            <w:tcW w:w="496"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center"/>
            </w:pPr>
            <w:r>
              <w:t>6</w:t>
            </w:r>
          </w:p>
        </w:tc>
        <w:tc>
          <w:tcPr>
            <w:tcW w:w="3543"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jc w:val="left"/>
            </w:pPr>
            <w:r>
              <w:t>Przestrzeganie ograniczeń ruchu roboczego pojazdów</w:t>
            </w:r>
          </w:p>
        </w:tc>
        <w:tc>
          <w:tcPr>
            <w:tcW w:w="1560"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120"/>
              <w:jc w:val="center"/>
            </w:pPr>
            <w:r>
              <w:t xml:space="preserve"> Jw.</w:t>
            </w:r>
          </w:p>
        </w:tc>
        <w:tc>
          <w:tcPr>
            <w:tcW w:w="1984" w:type="dxa"/>
            <w:tcBorders>
              <w:top w:val="single" w:sz="6" w:space="0" w:color="auto"/>
              <w:left w:val="single" w:sz="6" w:space="0" w:color="auto"/>
              <w:bottom w:val="single" w:sz="6" w:space="0" w:color="auto"/>
              <w:right w:val="single" w:sz="6" w:space="0" w:color="auto"/>
            </w:tcBorders>
            <w:hideMark/>
          </w:tcPr>
          <w:p w:rsidR="00C90ABA" w:rsidRDefault="00C90ABA">
            <w:pPr>
              <w:numPr>
                <w:ilvl w:val="12"/>
                <w:numId w:val="0"/>
              </w:numPr>
              <w:spacing w:before="120"/>
              <w:jc w:val="center"/>
            </w:pPr>
            <w:r>
              <w:t xml:space="preserve"> Wg pktu 5.4</w:t>
            </w:r>
          </w:p>
        </w:tc>
      </w:tr>
    </w:tbl>
    <w:p w:rsidR="00C90ABA" w:rsidRDefault="00C90ABA" w:rsidP="00C90ABA">
      <w:pPr>
        <w:pStyle w:val="Nagwek1"/>
        <w:numPr>
          <w:ilvl w:val="12"/>
          <w:numId w:val="0"/>
        </w:numPr>
      </w:pPr>
      <w:bookmarkStart w:id="42" w:name="_Toc63657594"/>
      <w:bookmarkStart w:id="43" w:name="_Toc42653954"/>
      <w:bookmarkStart w:id="44" w:name="_Toc41966535"/>
      <w:bookmarkStart w:id="45" w:name="_Toc25379402"/>
      <w:bookmarkStart w:id="46" w:name="_Toc25373386"/>
      <w:bookmarkStart w:id="47" w:name="_Toc25128888"/>
      <w:bookmarkStart w:id="48" w:name="_Toc24955914"/>
      <w:bookmarkStart w:id="49" w:name="_Toc421940502"/>
      <w:r>
        <w:t>7. obmiar robót</w:t>
      </w:r>
      <w:bookmarkEnd w:id="42"/>
      <w:bookmarkEnd w:id="43"/>
      <w:bookmarkEnd w:id="44"/>
      <w:bookmarkEnd w:id="45"/>
      <w:bookmarkEnd w:id="46"/>
      <w:bookmarkEnd w:id="47"/>
      <w:bookmarkEnd w:id="48"/>
      <w:bookmarkEnd w:id="49"/>
    </w:p>
    <w:p w:rsidR="00C90ABA" w:rsidRDefault="00C90ABA" w:rsidP="00C90ABA">
      <w:pPr>
        <w:pStyle w:val="Nagwek2"/>
        <w:numPr>
          <w:ilvl w:val="12"/>
          <w:numId w:val="0"/>
        </w:numPr>
      </w:pPr>
      <w:r>
        <w:t>7.1. Ogólne zasady obmiaru robót</w:t>
      </w:r>
    </w:p>
    <w:p w:rsidR="00C90ABA" w:rsidRDefault="00C90ABA" w:rsidP="00C90ABA">
      <w:pPr>
        <w:numPr>
          <w:ilvl w:val="12"/>
          <w:numId w:val="0"/>
        </w:numPr>
      </w:pPr>
      <w:r>
        <w:tab/>
      </w:r>
      <w:r w:rsidR="00906FD6">
        <w:t>Z</w:t>
      </w:r>
      <w:r>
        <w:t xml:space="preserve">asady obmiaru robót podano w </w:t>
      </w:r>
      <w:r w:rsidR="00906FD6">
        <w:t>S</w:t>
      </w:r>
      <w:r>
        <w:t>ST  D-M-00.00.00 „Wymagania ogólne” [1] pkt 7.</w:t>
      </w:r>
    </w:p>
    <w:p w:rsidR="00C90ABA" w:rsidRDefault="00C90ABA" w:rsidP="00C90ABA">
      <w:pPr>
        <w:pStyle w:val="Nagwek2"/>
        <w:numPr>
          <w:ilvl w:val="12"/>
          <w:numId w:val="0"/>
        </w:numPr>
      </w:pPr>
      <w:r>
        <w:t>7.2. Jednostka obmiarowa</w:t>
      </w:r>
    </w:p>
    <w:p w:rsidR="00C90ABA" w:rsidRDefault="00C90ABA" w:rsidP="00C90ABA">
      <w:pPr>
        <w:numPr>
          <w:ilvl w:val="12"/>
          <w:numId w:val="0"/>
        </w:numPr>
      </w:pPr>
      <w:r>
        <w:tab/>
        <w:t>Jednostką obmiarową jest:</w:t>
      </w:r>
    </w:p>
    <w:p w:rsidR="00C90ABA" w:rsidRDefault="00C90ABA" w:rsidP="00C90ABA">
      <w:pPr>
        <w:numPr>
          <w:ilvl w:val="0"/>
          <w:numId w:val="3"/>
        </w:numPr>
      </w:pPr>
      <w:r>
        <w:t>m</w:t>
      </w:r>
      <w:r>
        <w:rPr>
          <w:vertAlign w:val="superscript"/>
        </w:rPr>
        <w:t>2</w:t>
      </w:r>
      <w:r>
        <w:t xml:space="preserve"> (metr kwadratowy), przy układaniu geosyntetyku,</w:t>
      </w:r>
    </w:p>
    <w:p w:rsidR="00C90ABA" w:rsidRDefault="00C90ABA" w:rsidP="00C90ABA">
      <w:pPr>
        <w:numPr>
          <w:ilvl w:val="0"/>
          <w:numId w:val="3"/>
        </w:numPr>
      </w:pPr>
      <w:r>
        <w:t>m</w:t>
      </w:r>
      <w:r>
        <w:rPr>
          <w:vertAlign w:val="superscript"/>
        </w:rPr>
        <w:t>3</w:t>
      </w:r>
      <w:r>
        <w:t xml:space="preserve"> (metr sześcienny), przy wykonywaniu nasypów.</w:t>
      </w:r>
    </w:p>
    <w:p w:rsidR="00C90ABA" w:rsidRDefault="00C90ABA" w:rsidP="00C90ABA">
      <w:r>
        <w:t>Jednostki obmiarowe innych robót są ustalone w osobnych pozycjach kosztorysowych.</w:t>
      </w:r>
    </w:p>
    <w:p w:rsidR="00C90ABA" w:rsidRDefault="00C90ABA" w:rsidP="00C90ABA">
      <w:pPr>
        <w:pStyle w:val="Nagwek1"/>
        <w:numPr>
          <w:ilvl w:val="12"/>
          <w:numId w:val="0"/>
        </w:numPr>
      </w:pPr>
      <w:r>
        <w:t xml:space="preserve"> </w:t>
      </w:r>
      <w:bookmarkStart w:id="50" w:name="_Toc63657595"/>
      <w:bookmarkStart w:id="51" w:name="_Toc42653955"/>
      <w:bookmarkStart w:id="52" w:name="_Toc41966536"/>
      <w:bookmarkStart w:id="53" w:name="_Toc25379403"/>
      <w:bookmarkStart w:id="54" w:name="_Toc25373387"/>
      <w:bookmarkStart w:id="55" w:name="_Toc25128889"/>
      <w:bookmarkStart w:id="56" w:name="_Toc24955915"/>
      <w:bookmarkStart w:id="57" w:name="_Toc421940503"/>
      <w:r>
        <w:t>8. odbiór robót</w:t>
      </w:r>
      <w:bookmarkEnd w:id="50"/>
      <w:bookmarkEnd w:id="51"/>
      <w:bookmarkEnd w:id="52"/>
      <w:bookmarkEnd w:id="53"/>
      <w:bookmarkEnd w:id="54"/>
      <w:bookmarkEnd w:id="55"/>
      <w:bookmarkEnd w:id="56"/>
      <w:bookmarkEnd w:id="57"/>
    </w:p>
    <w:p w:rsidR="00C90ABA" w:rsidRDefault="00C90ABA" w:rsidP="00C90ABA">
      <w:pPr>
        <w:pStyle w:val="Nagwek2"/>
        <w:numPr>
          <w:ilvl w:val="12"/>
          <w:numId w:val="0"/>
        </w:numPr>
      </w:pPr>
      <w:r>
        <w:t>8.1. Ogólne zasady odbioru robót</w:t>
      </w:r>
    </w:p>
    <w:p w:rsidR="00C90ABA" w:rsidRDefault="00C90ABA" w:rsidP="00C90ABA">
      <w:pPr>
        <w:numPr>
          <w:ilvl w:val="12"/>
          <w:numId w:val="0"/>
        </w:numPr>
      </w:pPr>
      <w:r>
        <w:tab/>
      </w:r>
      <w:r w:rsidR="00906FD6">
        <w:t>Z</w:t>
      </w:r>
      <w:r>
        <w:t xml:space="preserve">asady odbioru robót podano w </w:t>
      </w:r>
      <w:r w:rsidR="00906FD6">
        <w:t>S</w:t>
      </w:r>
      <w:r>
        <w:t>ST  D-M-00.00.00 „Wymagania ogólne” [1] pkt 8.</w:t>
      </w:r>
    </w:p>
    <w:p w:rsidR="00C90ABA" w:rsidRDefault="00C90ABA" w:rsidP="00C90ABA">
      <w:pPr>
        <w:numPr>
          <w:ilvl w:val="12"/>
          <w:numId w:val="0"/>
        </w:numPr>
      </w:pPr>
      <w:r>
        <w:tab/>
        <w:t>Roboty uznaje się za wykonane zgodnie z dokumentacją projektową, SST i wymaganiami Inżyniera, jeżeli wszystkie pomiary i badania z zachowaniem tolerancji według pktu 6 dały wyniki pozytywne.</w:t>
      </w:r>
    </w:p>
    <w:p w:rsidR="00C90ABA" w:rsidRDefault="00C90ABA" w:rsidP="00C90ABA">
      <w:pPr>
        <w:pStyle w:val="Nagwek2"/>
        <w:numPr>
          <w:ilvl w:val="12"/>
          <w:numId w:val="0"/>
        </w:numPr>
      </w:pPr>
      <w:r>
        <w:t>8.2. Odbiór robót zanikających i ulegających  zakryciu</w:t>
      </w:r>
    </w:p>
    <w:p w:rsidR="00C90ABA" w:rsidRDefault="00C90ABA" w:rsidP="00C90ABA">
      <w:pPr>
        <w:numPr>
          <w:ilvl w:val="12"/>
          <w:numId w:val="0"/>
        </w:numPr>
      </w:pPr>
      <w:r>
        <w:tab/>
        <w:t>Odbiorowi robót zanikających i ulegających zakryciu podlegają:</w:t>
      </w:r>
    </w:p>
    <w:p w:rsidR="00C90ABA" w:rsidRDefault="00C90ABA" w:rsidP="00C90ABA">
      <w:pPr>
        <w:numPr>
          <w:ilvl w:val="0"/>
          <w:numId w:val="3"/>
        </w:numPr>
      </w:pPr>
      <w:r>
        <w:t>przygotowanie podłoża,</w:t>
      </w:r>
    </w:p>
    <w:p w:rsidR="00C90ABA" w:rsidRDefault="00C90ABA" w:rsidP="00C90ABA">
      <w:pPr>
        <w:numPr>
          <w:ilvl w:val="0"/>
          <w:numId w:val="3"/>
        </w:numPr>
      </w:pPr>
      <w:r>
        <w:t>ułożenie geosyntetyku.</w:t>
      </w:r>
    </w:p>
    <w:p w:rsidR="00C90ABA" w:rsidRDefault="00C90ABA" w:rsidP="00C90ABA">
      <w:r>
        <w:tab/>
        <w:t xml:space="preserve">Odbiór tych robót powinien być zgodny z wymaganiami pktu 8.2. </w:t>
      </w:r>
      <w:r w:rsidR="00906FD6">
        <w:t>S</w:t>
      </w:r>
      <w:r>
        <w:t xml:space="preserve">ST D-M-00.00.00 „Wymagania ogólne” [1] oraz niniejszej </w:t>
      </w:r>
      <w:r w:rsidR="00906FD6">
        <w:t>S</w:t>
      </w:r>
      <w:r>
        <w:t>ST.</w:t>
      </w:r>
    </w:p>
    <w:p w:rsidR="00C90ABA" w:rsidRDefault="00C90ABA" w:rsidP="00C90ABA">
      <w:pPr>
        <w:pStyle w:val="Nagwek1"/>
        <w:numPr>
          <w:ilvl w:val="12"/>
          <w:numId w:val="0"/>
        </w:numPr>
      </w:pPr>
      <w:bookmarkStart w:id="58" w:name="_Toc42653956"/>
      <w:bookmarkStart w:id="59" w:name="_Toc41966537"/>
      <w:bookmarkStart w:id="60" w:name="_Toc25379404"/>
      <w:bookmarkStart w:id="61" w:name="_Toc25373388"/>
      <w:bookmarkStart w:id="62" w:name="_Toc25128890"/>
      <w:bookmarkStart w:id="63" w:name="_Toc24955916"/>
      <w:bookmarkStart w:id="64" w:name="_Toc421940504"/>
      <w:bookmarkStart w:id="65" w:name="_Toc421686551"/>
      <w:bookmarkStart w:id="66" w:name="_Toc63657596"/>
      <w:r>
        <w:t xml:space="preserve">9. </w:t>
      </w:r>
      <w:bookmarkEnd w:id="58"/>
      <w:bookmarkEnd w:id="59"/>
      <w:bookmarkEnd w:id="60"/>
      <w:bookmarkEnd w:id="61"/>
      <w:bookmarkEnd w:id="62"/>
      <w:bookmarkEnd w:id="63"/>
      <w:bookmarkEnd w:id="64"/>
      <w:bookmarkEnd w:id="65"/>
      <w:r>
        <w:t>PODSTAWA PŁATNOŚCI</w:t>
      </w:r>
      <w:bookmarkEnd w:id="66"/>
    </w:p>
    <w:p w:rsidR="00C90ABA" w:rsidRDefault="00C90ABA" w:rsidP="00C90ABA">
      <w:pPr>
        <w:pStyle w:val="Nagwek2"/>
        <w:numPr>
          <w:ilvl w:val="12"/>
          <w:numId w:val="0"/>
        </w:numPr>
      </w:pPr>
      <w:r>
        <w:t>9.1. Ogólne ustalenia dotyczące podstawy płatności</w:t>
      </w:r>
    </w:p>
    <w:p w:rsidR="00C90ABA" w:rsidRDefault="00C90ABA" w:rsidP="00C90ABA">
      <w:pPr>
        <w:numPr>
          <w:ilvl w:val="12"/>
          <w:numId w:val="0"/>
        </w:numPr>
      </w:pPr>
      <w:r>
        <w:tab/>
        <w:t xml:space="preserve">Ogólne ustalenia dotyczące podstawy płatności podano w </w:t>
      </w:r>
      <w:r w:rsidR="00906FD6">
        <w:t>S</w:t>
      </w:r>
      <w:r>
        <w:t>ST D-M-00.00.00 „Wymagania ogólne” [1] pkt 9.</w:t>
      </w:r>
    </w:p>
    <w:p w:rsidR="00C90ABA" w:rsidRDefault="00C90ABA" w:rsidP="00C90ABA">
      <w:pPr>
        <w:pStyle w:val="Nagwek2"/>
        <w:numPr>
          <w:ilvl w:val="12"/>
          <w:numId w:val="0"/>
        </w:numPr>
      </w:pPr>
      <w:r>
        <w:t>9.2. Cena jednostki obmiarowej</w:t>
      </w:r>
    </w:p>
    <w:p w:rsidR="00C90ABA" w:rsidRDefault="00C90ABA" w:rsidP="00C90ABA">
      <w:pPr>
        <w:numPr>
          <w:ilvl w:val="12"/>
          <w:numId w:val="0"/>
        </w:numPr>
      </w:pPr>
      <w:r>
        <w:tab/>
        <w:t>Cena wykonania każdej jednostki obmiarowej obejmuje:</w:t>
      </w:r>
    </w:p>
    <w:p w:rsidR="00C90ABA" w:rsidRDefault="00C90ABA" w:rsidP="00C90ABA">
      <w:pPr>
        <w:numPr>
          <w:ilvl w:val="0"/>
          <w:numId w:val="3"/>
        </w:numPr>
      </w:pPr>
      <w:r>
        <w:t>prace pomiarowe,</w:t>
      </w:r>
    </w:p>
    <w:p w:rsidR="00C90ABA" w:rsidRDefault="00C90ABA" w:rsidP="00C90ABA">
      <w:pPr>
        <w:numPr>
          <w:ilvl w:val="0"/>
          <w:numId w:val="3"/>
        </w:numPr>
      </w:pPr>
      <w:r>
        <w:t>oznakowanie robót,</w:t>
      </w:r>
    </w:p>
    <w:p w:rsidR="00C90ABA" w:rsidRDefault="00C90ABA" w:rsidP="00C90ABA">
      <w:pPr>
        <w:numPr>
          <w:ilvl w:val="0"/>
          <w:numId w:val="3"/>
        </w:numPr>
      </w:pPr>
      <w:r>
        <w:t>przygotowanie podłoża,</w:t>
      </w:r>
    </w:p>
    <w:p w:rsidR="00C90ABA" w:rsidRDefault="00C90ABA" w:rsidP="00C90ABA">
      <w:pPr>
        <w:numPr>
          <w:ilvl w:val="0"/>
          <w:numId w:val="3"/>
        </w:numPr>
      </w:pPr>
      <w:r>
        <w:t>dostarczenie materiałów i sprzętu,</w:t>
      </w:r>
    </w:p>
    <w:p w:rsidR="00C90ABA" w:rsidRDefault="00C90ABA" w:rsidP="00C90ABA">
      <w:pPr>
        <w:numPr>
          <w:ilvl w:val="0"/>
          <w:numId w:val="3"/>
        </w:numPr>
      </w:pPr>
      <w:r>
        <w:t>przeprowadzenie pomiarów i badań wymaganych w niniejszej specyfikacji technicznej,</w:t>
      </w:r>
    </w:p>
    <w:p w:rsidR="00C90ABA" w:rsidRDefault="00C90ABA" w:rsidP="00C90ABA">
      <w:pPr>
        <w:numPr>
          <w:ilvl w:val="0"/>
          <w:numId w:val="3"/>
        </w:numPr>
      </w:pPr>
      <w:r>
        <w:t>odwiezienie sprzętu.</w:t>
      </w:r>
    </w:p>
    <w:p w:rsidR="00C90ABA" w:rsidRDefault="00C90ABA" w:rsidP="00C90ABA">
      <w:r>
        <w:tab/>
        <w:t>Dodatkowo cena wykonania 1 m</w:t>
      </w:r>
      <w:r>
        <w:rPr>
          <w:vertAlign w:val="superscript"/>
        </w:rPr>
        <w:t>2</w:t>
      </w:r>
      <w:r>
        <w:t xml:space="preserve"> układania geosyntetyku obejmuje:</w:t>
      </w:r>
    </w:p>
    <w:p w:rsidR="00C90ABA" w:rsidRDefault="00C90ABA" w:rsidP="00C90ABA">
      <w:pPr>
        <w:numPr>
          <w:ilvl w:val="0"/>
          <w:numId w:val="3"/>
        </w:numPr>
      </w:pPr>
      <w:r>
        <w:t>wykonanie robót przygotowawczych,</w:t>
      </w:r>
    </w:p>
    <w:p w:rsidR="00C90ABA" w:rsidRDefault="00C90ABA" w:rsidP="00C90ABA">
      <w:pPr>
        <w:numPr>
          <w:ilvl w:val="0"/>
          <w:numId w:val="3"/>
        </w:numPr>
      </w:pPr>
      <w:r>
        <w:t>ułożenie geosyntetyku.</w:t>
      </w:r>
    </w:p>
    <w:p w:rsidR="00C90ABA" w:rsidRDefault="00C90ABA" w:rsidP="00C90ABA">
      <w:r>
        <w:tab/>
        <w:t>Dodatkowo cena wykonania 1 m</w:t>
      </w:r>
      <w:r>
        <w:rPr>
          <w:vertAlign w:val="superscript"/>
        </w:rPr>
        <w:t>3</w:t>
      </w:r>
      <w:r>
        <w:t xml:space="preserve"> zasypki nasypem ziemnym obejmuje:</w:t>
      </w:r>
    </w:p>
    <w:p w:rsidR="00C90ABA" w:rsidRDefault="00C90ABA" w:rsidP="00C90ABA">
      <w:pPr>
        <w:numPr>
          <w:ilvl w:val="0"/>
          <w:numId w:val="3"/>
        </w:numPr>
      </w:pPr>
      <w:r>
        <w:t>zasypanie geosyntetyku nasypem ziemnym zgodnie z wymaganiami pktu</w:t>
      </w:r>
      <w:r w:rsidR="00906FD6">
        <w:t xml:space="preserve"> 5.4 niniejszej specyfikacji i S</w:t>
      </w:r>
      <w:r>
        <w:t>ST D-02.00.00 [3].</w:t>
      </w:r>
    </w:p>
    <w:p w:rsidR="00C90ABA" w:rsidRDefault="00C90ABA" w:rsidP="00C90ABA">
      <w:r>
        <w:tab/>
        <w:t>Cena wykonania nie obejmuje robót innych, które powinny być ujęte w osobnych pozycjach kosztorysowych.</w:t>
      </w:r>
    </w:p>
    <w:p w:rsidR="00C90ABA" w:rsidRDefault="00C90ABA" w:rsidP="00C90ABA">
      <w:pPr>
        <w:pStyle w:val="Nagwek1"/>
      </w:pPr>
      <w:bookmarkStart w:id="67" w:name="_Toc63657597"/>
      <w:bookmarkStart w:id="68" w:name="_Toc42653957"/>
      <w:bookmarkStart w:id="69" w:name="_Toc41966538"/>
      <w:r>
        <w:t>10. przepisy związane</w:t>
      </w:r>
      <w:bookmarkEnd w:id="67"/>
      <w:bookmarkEnd w:id="68"/>
      <w:bookmarkEnd w:id="69"/>
    </w:p>
    <w:p w:rsidR="00C90ABA" w:rsidRDefault="00C90ABA" w:rsidP="00C90ABA">
      <w:pPr>
        <w:pStyle w:val="Nagwek2"/>
      </w:pPr>
      <w:r>
        <w:t xml:space="preserve">10.1. </w:t>
      </w:r>
      <w:r w:rsidR="00906FD6">
        <w:t>S</w:t>
      </w:r>
      <w:r>
        <w:t>pecyfikacje techniczne (</w:t>
      </w:r>
      <w:r w:rsidR="00906FD6">
        <w:t>S</w:t>
      </w:r>
      <w:r>
        <w:t>ST)</w:t>
      </w:r>
    </w:p>
    <w:tbl>
      <w:tblPr>
        <w:tblW w:w="0" w:type="auto"/>
        <w:tblLayout w:type="fixed"/>
        <w:tblCellMar>
          <w:left w:w="71" w:type="dxa"/>
          <w:right w:w="71" w:type="dxa"/>
        </w:tblCellMar>
        <w:tblLook w:val="04A0" w:firstRow="1" w:lastRow="0" w:firstColumn="1" w:lastColumn="0" w:noHBand="0" w:noVBand="1"/>
      </w:tblPr>
      <w:tblGrid>
        <w:gridCol w:w="454"/>
        <w:gridCol w:w="1460"/>
        <w:gridCol w:w="5554"/>
      </w:tblGrid>
      <w:tr w:rsidR="00C90ABA" w:rsidTr="00C90ABA">
        <w:tc>
          <w:tcPr>
            <w:tcW w:w="454" w:type="dxa"/>
            <w:hideMark/>
          </w:tcPr>
          <w:p w:rsidR="00C90ABA" w:rsidRDefault="00C90ABA">
            <w:pPr>
              <w:jc w:val="right"/>
            </w:pPr>
            <w:r>
              <w:t>1.</w:t>
            </w:r>
          </w:p>
        </w:tc>
        <w:tc>
          <w:tcPr>
            <w:tcW w:w="1460" w:type="dxa"/>
            <w:hideMark/>
          </w:tcPr>
          <w:p w:rsidR="00C90ABA" w:rsidRDefault="00C90ABA">
            <w:r>
              <w:t>D-M-00.00.00</w:t>
            </w:r>
          </w:p>
        </w:tc>
        <w:tc>
          <w:tcPr>
            <w:tcW w:w="5554" w:type="dxa"/>
            <w:hideMark/>
          </w:tcPr>
          <w:p w:rsidR="00C90ABA" w:rsidRDefault="00C90ABA">
            <w:r>
              <w:t>Wymagania ogólne</w:t>
            </w:r>
          </w:p>
        </w:tc>
      </w:tr>
      <w:tr w:rsidR="00C90ABA" w:rsidTr="00C90ABA">
        <w:tc>
          <w:tcPr>
            <w:tcW w:w="454" w:type="dxa"/>
            <w:hideMark/>
          </w:tcPr>
          <w:p w:rsidR="00C90ABA" w:rsidRDefault="00C90ABA">
            <w:pPr>
              <w:jc w:val="right"/>
            </w:pPr>
            <w:r>
              <w:t>2.</w:t>
            </w:r>
          </w:p>
        </w:tc>
        <w:tc>
          <w:tcPr>
            <w:tcW w:w="1460" w:type="dxa"/>
            <w:hideMark/>
          </w:tcPr>
          <w:p w:rsidR="00C90ABA" w:rsidRDefault="00C90ABA">
            <w:r>
              <w:t>D-01.00.00</w:t>
            </w:r>
          </w:p>
        </w:tc>
        <w:tc>
          <w:tcPr>
            <w:tcW w:w="5554" w:type="dxa"/>
            <w:hideMark/>
          </w:tcPr>
          <w:p w:rsidR="00C90ABA" w:rsidRDefault="00C90ABA">
            <w:r>
              <w:t>Roboty przygotowawcze</w:t>
            </w:r>
          </w:p>
        </w:tc>
      </w:tr>
      <w:tr w:rsidR="00C90ABA" w:rsidTr="00C90ABA">
        <w:tc>
          <w:tcPr>
            <w:tcW w:w="454" w:type="dxa"/>
            <w:hideMark/>
          </w:tcPr>
          <w:p w:rsidR="00C90ABA" w:rsidRDefault="00C90ABA">
            <w:pPr>
              <w:jc w:val="right"/>
            </w:pPr>
            <w:r>
              <w:t>3.</w:t>
            </w:r>
          </w:p>
        </w:tc>
        <w:tc>
          <w:tcPr>
            <w:tcW w:w="1460" w:type="dxa"/>
            <w:hideMark/>
          </w:tcPr>
          <w:p w:rsidR="00C90ABA" w:rsidRDefault="00C90ABA">
            <w:r>
              <w:t>D-02.00.00</w:t>
            </w:r>
          </w:p>
        </w:tc>
        <w:tc>
          <w:tcPr>
            <w:tcW w:w="5554" w:type="dxa"/>
            <w:hideMark/>
          </w:tcPr>
          <w:p w:rsidR="00C90ABA" w:rsidRDefault="00C90ABA">
            <w:r>
              <w:t>Roboty ziemne</w:t>
            </w:r>
          </w:p>
        </w:tc>
      </w:tr>
    </w:tbl>
    <w:p w:rsidR="00C90ABA" w:rsidRDefault="00C90ABA" w:rsidP="00C90ABA">
      <w:pPr>
        <w:pStyle w:val="Nagwek2"/>
      </w:pPr>
      <w:r>
        <w:t>10.2. Inne dokumenty</w:t>
      </w:r>
    </w:p>
    <w:p w:rsidR="00C90ABA" w:rsidRDefault="00C90ABA" w:rsidP="00C90ABA">
      <w:pPr>
        <w:numPr>
          <w:ilvl w:val="0"/>
          <w:numId w:val="15"/>
        </w:numPr>
        <w:ind w:left="426" w:hanging="256"/>
      </w:pPr>
      <w:r>
        <w:t>Wytyczne wzmacniania podłoża gruntowego w budownictwie drogowym.</w:t>
      </w:r>
      <w:r>
        <w:br/>
        <w:t>GDDP - IBDiM, Warszawa, 2002</w:t>
      </w:r>
    </w:p>
    <w:p w:rsidR="00C90ABA" w:rsidRDefault="00C90ABA" w:rsidP="00C90ABA"/>
    <w:p w:rsidR="00C90ABA" w:rsidRDefault="00C90ABA" w:rsidP="00C90ABA"/>
    <w:p w:rsidR="00C90ABA" w:rsidRDefault="00C90ABA" w:rsidP="00C90ABA"/>
    <w:p w:rsidR="00C90ABA" w:rsidRDefault="00C90ABA" w:rsidP="00C90ABA">
      <w:pPr>
        <w:jc w:val="center"/>
        <w:rPr>
          <w:b/>
        </w:rPr>
      </w:pPr>
    </w:p>
    <w:p w:rsidR="00C90ABA" w:rsidRDefault="00C90ABA" w:rsidP="00C90ABA">
      <w:pPr>
        <w:jc w:val="center"/>
        <w:rPr>
          <w:b/>
        </w:rPr>
      </w:pPr>
    </w:p>
    <w:p w:rsidR="00C90ABA" w:rsidRDefault="00C90ABA" w:rsidP="00C90ABA">
      <w:pPr>
        <w:jc w:val="center"/>
        <w:rPr>
          <w:b/>
        </w:rPr>
      </w:pPr>
      <w:r>
        <w:rPr>
          <w:b/>
        </w:rPr>
        <w:t>ZAŁĄCZNIKI</w:t>
      </w:r>
    </w:p>
    <w:p w:rsidR="00C90ABA" w:rsidRDefault="00C90ABA" w:rsidP="00C90ABA">
      <w:pPr>
        <w:jc w:val="center"/>
        <w:rPr>
          <w:b/>
        </w:rPr>
      </w:pPr>
    </w:p>
    <w:p w:rsidR="00C90ABA" w:rsidRDefault="00C90ABA" w:rsidP="00C90ABA">
      <w:pPr>
        <w:jc w:val="right"/>
        <w:rPr>
          <w:b/>
        </w:rPr>
      </w:pPr>
      <w:r>
        <w:rPr>
          <w:b/>
        </w:rPr>
        <w:t>ZAŁĄCZNIK 1</w:t>
      </w:r>
    </w:p>
    <w:p w:rsidR="00C90ABA" w:rsidRDefault="00C90ABA" w:rsidP="00C90ABA">
      <w:pPr>
        <w:jc w:val="center"/>
        <w:rPr>
          <w:b/>
        </w:rPr>
      </w:pPr>
    </w:p>
    <w:p w:rsidR="00C90ABA" w:rsidRDefault="00C90ABA" w:rsidP="00C90ABA">
      <w:pPr>
        <w:jc w:val="center"/>
        <w:rPr>
          <w:b/>
        </w:rPr>
      </w:pPr>
      <w:r>
        <w:rPr>
          <w:b/>
        </w:rPr>
        <w:t>WŁAŚCIWOŚCI   GEOSYNTETYKÓW   (wg [4])</w:t>
      </w:r>
    </w:p>
    <w:p w:rsidR="00C90ABA" w:rsidRDefault="00C90ABA" w:rsidP="00C90ABA">
      <w:pPr>
        <w:jc w:val="center"/>
        <w:rPr>
          <w:b/>
        </w:rPr>
      </w:pPr>
    </w:p>
    <w:p w:rsidR="00C90ABA" w:rsidRDefault="00C90ABA" w:rsidP="00C90ABA">
      <w:pPr>
        <w:pStyle w:val="Nagwek2"/>
      </w:pPr>
      <w:r>
        <w:t>1.1. Surowce do wyrobu geosyntetyków</w:t>
      </w:r>
    </w:p>
    <w:p w:rsidR="00C90ABA" w:rsidRDefault="00C90ABA" w:rsidP="00C90ABA">
      <w:r>
        <w:tab/>
        <w:t>Głównymi surowcami do wyrobu geosyntetyków są polipropylen PP, poliester PES, PET i polietylen wysokiej gęstości HDPE, w mniejszym zakresie polichlorek winylu PCV, poliamidy PA i inne, a także specjalne tworzywa o dużej sztywności na rozciąganie, małym pełzaniu i dobrej odporności chemicznej, jak poliwinyloalkohol PVA i aramid A. Jako powłoki osłaniające stosuje się polichlorek winylu PCV, polietylen PE, żywice akrylowe i bitumy. Do wyrobów degradowalnych (biomat lub biowłóknin) używane są również materiały roślinne: len, bawełna, juta lub włókno kokosowe.</w:t>
      </w:r>
    </w:p>
    <w:p w:rsidR="00C90ABA" w:rsidRDefault="00C90ABA" w:rsidP="00C90ABA">
      <w:pPr>
        <w:pStyle w:val="Nagwek2"/>
      </w:pPr>
      <w:r>
        <w:t>1.2. Wymagania dotyczące geotekstyliów i wyrobów pokrewnych</w:t>
      </w:r>
    </w:p>
    <w:p w:rsidR="00C90ABA" w:rsidRDefault="00C90ABA" w:rsidP="00C90ABA">
      <w:r>
        <w:tab/>
        <w:t>Podstawowe informacje o wymaganiach, dotyczących właściwości wyrobów geotekstylnych stosowanych w budownictwie drogowym przedstawiono w tablicy 1.1.</w:t>
      </w:r>
    </w:p>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r>
        <w:t>Tablica 1.1. Właściwości wyrobów geotekstylnych</w:t>
      </w:r>
    </w:p>
    <w:p w:rsidR="00C90ABA" w:rsidRDefault="00C90ABA" w:rsidP="00C90ABA"/>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3402"/>
        <w:gridCol w:w="2070"/>
        <w:gridCol w:w="1398"/>
      </w:tblGrid>
      <w:tr w:rsidR="00C90ABA" w:rsidTr="00C90ABA">
        <w:tc>
          <w:tcPr>
            <w:tcW w:w="637" w:type="dxa"/>
            <w:tcBorders>
              <w:top w:val="single" w:sz="6" w:space="0" w:color="auto"/>
              <w:left w:val="single" w:sz="6" w:space="0" w:color="auto"/>
              <w:bottom w:val="double" w:sz="6" w:space="0" w:color="auto"/>
              <w:right w:val="single" w:sz="6" w:space="0" w:color="auto"/>
            </w:tcBorders>
            <w:hideMark/>
          </w:tcPr>
          <w:p w:rsidR="00C90ABA" w:rsidRDefault="00C90ABA">
            <w:pPr>
              <w:spacing w:before="120"/>
              <w:jc w:val="center"/>
            </w:pPr>
            <w:r>
              <w:t>Lp.</w:t>
            </w:r>
          </w:p>
        </w:tc>
        <w:tc>
          <w:tcPr>
            <w:tcW w:w="3402" w:type="dxa"/>
            <w:tcBorders>
              <w:top w:val="single" w:sz="6" w:space="0" w:color="auto"/>
              <w:left w:val="single" w:sz="6" w:space="0" w:color="auto"/>
              <w:bottom w:val="double" w:sz="6" w:space="0" w:color="auto"/>
              <w:right w:val="single" w:sz="6" w:space="0" w:color="auto"/>
            </w:tcBorders>
            <w:hideMark/>
          </w:tcPr>
          <w:p w:rsidR="00C90ABA" w:rsidRDefault="00C90ABA">
            <w:pPr>
              <w:spacing w:before="120"/>
              <w:jc w:val="center"/>
            </w:pPr>
            <w:r>
              <w:t>Właściwość</w:t>
            </w:r>
          </w:p>
        </w:tc>
        <w:tc>
          <w:tcPr>
            <w:tcW w:w="2070" w:type="dxa"/>
            <w:tcBorders>
              <w:top w:val="single" w:sz="6" w:space="0" w:color="auto"/>
              <w:left w:val="single" w:sz="6" w:space="0" w:color="auto"/>
              <w:bottom w:val="double" w:sz="6" w:space="0" w:color="auto"/>
              <w:right w:val="single" w:sz="6" w:space="0" w:color="auto"/>
            </w:tcBorders>
            <w:hideMark/>
          </w:tcPr>
          <w:p w:rsidR="00C90ABA" w:rsidRDefault="00C90ABA">
            <w:pPr>
              <w:spacing w:before="120"/>
              <w:jc w:val="center"/>
            </w:pPr>
            <w:r>
              <w:t>Metoda badań wg</w:t>
            </w:r>
          </w:p>
        </w:tc>
        <w:tc>
          <w:tcPr>
            <w:tcW w:w="1398" w:type="dxa"/>
            <w:tcBorders>
              <w:top w:val="single" w:sz="6" w:space="0" w:color="auto"/>
              <w:left w:val="single" w:sz="6" w:space="0" w:color="auto"/>
              <w:bottom w:val="double" w:sz="6" w:space="0" w:color="auto"/>
              <w:right w:val="single" w:sz="6" w:space="0" w:color="auto"/>
            </w:tcBorders>
            <w:hideMark/>
          </w:tcPr>
          <w:p w:rsidR="00C90ABA" w:rsidRDefault="00C90ABA">
            <w:pPr>
              <w:jc w:val="center"/>
            </w:pPr>
            <w:r>
              <w:rPr>
                <w:sz w:val="16"/>
              </w:rPr>
              <w:t>Oznaczenie funkcji zbrojenia                   i wzmocnienia</w:t>
            </w:r>
          </w:p>
        </w:tc>
      </w:tr>
      <w:tr w:rsidR="00C90ABA" w:rsidTr="00C90ABA">
        <w:tc>
          <w:tcPr>
            <w:tcW w:w="637" w:type="dxa"/>
            <w:tcBorders>
              <w:top w:val="nil"/>
              <w:left w:val="single" w:sz="6" w:space="0" w:color="auto"/>
              <w:bottom w:val="single" w:sz="6" w:space="0" w:color="auto"/>
              <w:right w:val="single" w:sz="6" w:space="0" w:color="auto"/>
            </w:tcBorders>
            <w:hideMark/>
          </w:tcPr>
          <w:p w:rsidR="00C90ABA" w:rsidRDefault="00C90ABA">
            <w:pPr>
              <w:jc w:val="center"/>
            </w:pPr>
            <w:r>
              <w:t>1</w:t>
            </w:r>
          </w:p>
        </w:tc>
        <w:tc>
          <w:tcPr>
            <w:tcW w:w="3402" w:type="dxa"/>
            <w:tcBorders>
              <w:top w:val="nil"/>
              <w:left w:val="single" w:sz="6" w:space="0" w:color="auto"/>
              <w:bottom w:val="single" w:sz="6" w:space="0" w:color="auto"/>
              <w:right w:val="single" w:sz="6" w:space="0" w:color="auto"/>
            </w:tcBorders>
            <w:hideMark/>
          </w:tcPr>
          <w:p w:rsidR="00C90ABA" w:rsidRDefault="00C90ABA">
            <w:pPr>
              <w:jc w:val="left"/>
            </w:pPr>
            <w:r>
              <w:t>Wytrzymałość na rozciąganie</w:t>
            </w:r>
            <w:r>
              <w:rPr>
                <w:vertAlign w:val="superscript"/>
              </w:rPr>
              <w:t>b)</w:t>
            </w:r>
          </w:p>
        </w:tc>
        <w:tc>
          <w:tcPr>
            <w:tcW w:w="2070" w:type="dxa"/>
            <w:tcBorders>
              <w:top w:val="nil"/>
              <w:left w:val="single" w:sz="6" w:space="0" w:color="auto"/>
              <w:bottom w:val="single" w:sz="6" w:space="0" w:color="auto"/>
              <w:right w:val="single" w:sz="6" w:space="0" w:color="auto"/>
            </w:tcBorders>
            <w:hideMark/>
          </w:tcPr>
          <w:p w:rsidR="00C90ABA" w:rsidRDefault="00C90ABA">
            <w:pPr>
              <w:rPr>
                <w:lang w:val="de-DE"/>
              </w:rPr>
            </w:pPr>
            <w:r>
              <w:rPr>
                <w:lang w:val="de-DE"/>
              </w:rPr>
              <w:t>PN-EN ISO 10319</w:t>
            </w:r>
          </w:p>
        </w:tc>
        <w:tc>
          <w:tcPr>
            <w:tcW w:w="1398" w:type="dxa"/>
            <w:tcBorders>
              <w:top w:val="nil"/>
              <w:left w:val="single" w:sz="6" w:space="0" w:color="auto"/>
              <w:bottom w:val="single" w:sz="6" w:space="0" w:color="auto"/>
              <w:right w:val="single" w:sz="6" w:space="0" w:color="auto"/>
            </w:tcBorders>
            <w:hideMark/>
          </w:tcPr>
          <w:p w:rsidR="00C90ABA" w:rsidRDefault="00C90ABA">
            <w:pPr>
              <w:jc w:val="center"/>
            </w:pPr>
            <w:r>
              <w:t>H</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2</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Wydłużenie przy maksymalnym obciążeniu</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rPr>
                <w:lang w:val="de-DE"/>
              </w:rPr>
            </w:pPr>
            <w:r>
              <w:rPr>
                <w:lang w:val="de-DE"/>
              </w:rPr>
              <w:t>PN-EN ISO 10319</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jc w:val="center"/>
            </w:pPr>
            <w:r>
              <w:t>H</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3</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Wytrzymałość na rozciąganie szwów         i połączeń</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rPr>
                <w:lang w:val="de-DE"/>
              </w:rPr>
            </w:pPr>
            <w:r>
              <w:rPr>
                <w:lang w:val="de-DE"/>
              </w:rPr>
              <w:t>PN-EN ISO 10321</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jc w:val="center"/>
            </w:pPr>
            <w:r>
              <w:t>S</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4</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Przebicie statyczne (CBR)</w:t>
            </w:r>
            <w:r>
              <w:rPr>
                <w:vertAlign w:val="superscript"/>
              </w:rPr>
              <w:t>a),b)</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de-DE"/>
              </w:rPr>
            </w:pPr>
            <w:r>
              <w:rPr>
                <w:lang w:val="de-DE"/>
              </w:rPr>
              <w:t>PN-EN ISO 12236</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H</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5</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Przebicie dynamiczne</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de-DE"/>
              </w:rPr>
            </w:pPr>
            <w:r>
              <w:rPr>
                <w:lang w:val="de-DE"/>
              </w:rPr>
              <w:t>PN-EN 918</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rPr>
                <w:lang w:val="de-DE"/>
              </w:rPr>
            </w:pPr>
            <w:r>
              <w:rPr>
                <w:lang w:val="de-DE"/>
              </w:rPr>
              <w:t>H</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rPr>
                <w:lang w:val="de-DE"/>
              </w:rPr>
            </w:pPr>
            <w:r>
              <w:rPr>
                <w:lang w:val="de-DE"/>
              </w:rPr>
              <w:t>6</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rPr>
                <w:lang w:val="de-DE"/>
              </w:rPr>
            </w:pPr>
            <w:r>
              <w:rPr>
                <w:lang w:val="de-DE"/>
              </w:rPr>
              <w:t>Tarcie</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de-DE"/>
              </w:rPr>
            </w:pPr>
            <w:r>
              <w:rPr>
                <w:lang w:val="de-DE"/>
              </w:rPr>
              <w:t>EN ISO 12987</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A</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7</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Pełzanie przy rozciąganiu</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en-US"/>
              </w:rPr>
            </w:pPr>
            <w:r>
              <w:rPr>
                <w:lang w:val="en-US"/>
              </w:rPr>
              <w:t>PN- ISO 13431</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rPr>
                <w:lang w:val="en-US"/>
              </w:rPr>
            </w:pPr>
            <w:r>
              <w:rPr>
                <w:lang w:val="en-US"/>
              </w:rPr>
              <w:t>S</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8</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Uszkodzenia podczas wbudowania</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en-US"/>
              </w:rPr>
            </w:pPr>
            <w:r>
              <w:rPr>
                <w:lang w:val="en-US"/>
              </w:rPr>
              <w:t>ENV ISO 10722-1</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rPr>
                <w:lang w:val="en-US"/>
              </w:rPr>
            </w:pPr>
            <w:r>
              <w:rPr>
                <w:lang w:val="en-US"/>
              </w:rPr>
              <w:t>A</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9</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Charakterystyczna wielkość porów</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de-DE"/>
              </w:rPr>
            </w:pPr>
            <w:r>
              <w:rPr>
                <w:lang w:val="de-DE"/>
              </w:rPr>
              <w:t>PN-EN ISO 12956</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sym w:font="Symbol" w:char="F02D"/>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10</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Wodoprzepuszczalność w kierunku prostopadłym do powierzchni</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de-DE"/>
              </w:rPr>
            </w:pPr>
            <w:r>
              <w:rPr>
                <w:lang w:val="de-DE"/>
              </w:rPr>
              <w:t>PN-EN ISO 11058</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A</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11</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Trwałość</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r>
              <w:t>EN 13249 zał. B</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H</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12.1</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Odporność na starzenie w warunkach atmosferycznych</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pPr>
            <w:r>
              <w:t>EN 12224</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jc w:val="center"/>
            </w:pPr>
            <w:r>
              <w:t>A</w:t>
            </w:r>
          </w:p>
        </w:tc>
      </w:tr>
      <w:tr w:rsidR="00C90ABA" w:rsidTr="00C90ABA">
        <w:tc>
          <w:tcPr>
            <w:tcW w:w="637" w:type="dxa"/>
            <w:tcBorders>
              <w:top w:val="single" w:sz="6" w:space="0" w:color="auto"/>
              <w:left w:val="single" w:sz="6" w:space="0" w:color="auto"/>
              <w:bottom w:val="single" w:sz="6" w:space="0" w:color="auto"/>
              <w:right w:val="single" w:sz="6" w:space="0" w:color="auto"/>
            </w:tcBorders>
          </w:tcPr>
          <w:p w:rsidR="00C90ABA" w:rsidRDefault="00C90ABA">
            <w:pPr>
              <w:jc w:val="center"/>
            </w:pPr>
          </w:p>
          <w:p w:rsidR="00C90ABA" w:rsidRDefault="00C90ABA">
            <w:pPr>
              <w:jc w:val="center"/>
            </w:pPr>
            <w:r>
              <w:t>12.2</w:t>
            </w:r>
          </w:p>
        </w:tc>
        <w:tc>
          <w:tcPr>
            <w:tcW w:w="3402" w:type="dxa"/>
            <w:tcBorders>
              <w:top w:val="single" w:sz="6" w:space="0" w:color="auto"/>
              <w:left w:val="single" w:sz="6" w:space="0" w:color="auto"/>
              <w:bottom w:val="single" w:sz="6" w:space="0" w:color="auto"/>
              <w:right w:val="single" w:sz="6" w:space="0" w:color="auto"/>
            </w:tcBorders>
          </w:tcPr>
          <w:p w:rsidR="00C90ABA" w:rsidRDefault="00C90ABA"/>
          <w:p w:rsidR="00C90ABA" w:rsidRDefault="00C90ABA">
            <w:r>
              <w:t>Odporność na degradację chemiczną</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rPr>
                <w:lang w:val="de-DE"/>
              </w:rPr>
            </w:pPr>
            <w:r>
              <w:rPr>
                <w:lang w:val="de-DE"/>
              </w:rPr>
              <w:t>ENV ISO 12960 lub</w:t>
            </w:r>
          </w:p>
          <w:p w:rsidR="00C90ABA" w:rsidRDefault="00C90ABA">
            <w:pPr>
              <w:rPr>
                <w:lang w:val="de-DE"/>
              </w:rPr>
            </w:pPr>
            <w:r>
              <w:rPr>
                <w:lang w:val="de-DE"/>
              </w:rPr>
              <w:t>ENV ISO 13438</w:t>
            </w:r>
          </w:p>
          <w:p w:rsidR="00C90ABA" w:rsidRDefault="00C90ABA">
            <w:pPr>
              <w:rPr>
                <w:lang w:val="de-DE"/>
              </w:rPr>
            </w:pPr>
            <w:r>
              <w:rPr>
                <w:lang w:val="de-DE"/>
              </w:rPr>
              <w:t>EN 12447</w:t>
            </w:r>
          </w:p>
        </w:tc>
        <w:tc>
          <w:tcPr>
            <w:tcW w:w="1398" w:type="dxa"/>
            <w:tcBorders>
              <w:top w:val="single" w:sz="6" w:space="0" w:color="auto"/>
              <w:left w:val="single" w:sz="6" w:space="0" w:color="auto"/>
              <w:bottom w:val="single" w:sz="6" w:space="0" w:color="auto"/>
              <w:right w:val="single" w:sz="6" w:space="0" w:color="auto"/>
            </w:tcBorders>
          </w:tcPr>
          <w:p w:rsidR="00C90ABA" w:rsidRDefault="00C90ABA">
            <w:pPr>
              <w:jc w:val="center"/>
              <w:rPr>
                <w:lang w:val="de-DE"/>
              </w:rPr>
            </w:pPr>
          </w:p>
          <w:p w:rsidR="00C90ABA" w:rsidRDefault="00C90ABA">
            <w:pPr>
              <w:jc w:val="center"/>
            </w:pPr>
            <w:r>
              <w:t>S</w:t>
            </w:r>
          </w:p>
        </w:tc>
      </w:tr>
      <w:tr w:rsidR="00C90ABA" w:rsidTr="00C90ABA">
        <w:tc>
          <w:tcPr>
            <w:tcW w:w="637" w:type="dxa"/>
            <w:tcBorders>
              <w:top w:val="single" w:sz="6" w:space="0" w:color="auto"/>
              <w:left w:val="single" w:sz="6" w:space="0" w:color="auto"/>
              <w:bottom w:val="single" w:sz="6" w:space="0" w:color="auto"/>
              <w:right w:val="single" w:sz="6" w:space="0" w:color="auto"/>
            </w:tcBorders>
            <w:hideMark/>
          </w:tcPr>
          <w:p w:rsidR="00C90ABA" w:rsidRDefault="00C90ABA">
            <w:pPr>
              <w:jc w:val="center"/>
            </w:pPr>
            <w:r>
              <w:t>12.3</w:t>
            </w:r>
          </w:p>
        </w:tc>
        <w:tc>
          <w:tcPr>
            <w:tcW w:w="3402" w:type="dxa"/>
            <w:tcBorders>
              <w:top w:val="single" w:sz="6" w:space="0" w:color="auto"/>
              <w:left w:val="single" w:sz="6" w:space="0" w:color="auto"/>
              <w:bottom w:val="single" w:sz="6" w:space="0" w:color="auto"/>
              <w:right w:val="single" w:sz="6" w:space="0" w:color="auto"/>
            </w:tcBorders>
            <w:hideMark/>
          </w:tcPr>
          <w:p w:rsidR="00C90ABA" w:rsidRDefault="00C90ABA">
            <w:pPr>
              <w:jc w:val="left"/>
            </w:pPr>
            <w:r>
              <w:t>Odporność na degradację mikro-biologiczną</w:t>
            </w:r>
          </w:p>
        </w:tc>
        <w:tc>
          <w:tcPr>
            <w:tcW w:w="2070"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pPr>
            <w:r>
              <w:t>EN 12225</w:t>
            </w:r>
          </w:p>
        </w:tc>
        <w:tc>
          <w:tcPr>
            <w:tcW w:w="1398" w:type="dxa"/>
            <w:tcBorders>
              <w:top w:val="single" w:sz="6" w:space="0" w:color="auto"/>
              <w:left w:val="single" w:sz="6" w:space="0" w:color="auto"/>
              <w:bottom w:val="single" w:sz="6" w:space="0" w:color="auto"/>
              <w:right w:val="single" w:sz="6" w:space="0" w:color="auto"/>
            </w:tcBorders>
            <w:hideMark/>
          </w:tcPr>
          <w:p w:rsidR="00C90ABA" w:rsidRDefault="00C90ABA">
            <w:pPr>
              <w:spacing w:before="120"/>
              <w:jc w:val="center"/>
            </w:pPr>
            <w:r>
              <w:t>S</w:t>
            </w:r>
          </w:p>
        </w:tc>
      </w:tr>
    </w:tbl>
    <w:p w:rsidR="00C90ABA" w:rsidRDefault="00C90ABA" w:rsidP="00C90ABA"/>
    <w:p w:rsidR="00C90ABA" w:rsidRDefault="00C90ABA" w:rsidP="00C90ABA">
      <w:r>
        <w:rPr>
          <w:u w:val="single"/>
        </w:rPr>
        <w:t>Oznaczenia:</w:t>
      </w:r>
    </w:p>
    <w:p w:rsidR="00C90ABA" w:rsidRDefault="00C90ABA" w:rsidP="00C90ABA">
      <w:r>
        <w:tab/>
        <w:t>H  - właściwość o znaczeniu zasadniczym</w:t>
      </w:r>
    </w:p>
    <w:p w:rsidR="00C90ABA" w:rsidRDefault="00C90ABA" w:rsidP="00C90ABA">
      <w:r>
        <w:tab/>
        <w:t>A  - właściwość ważna we wszystkich warunkach stosowania</w:t>
      </w:r>
    </w:p>
    <w:p w:rsidR="00C90ABA" w:rsidRDefault="00C90ABA" w:rsidP="00C90ABA">
      <w:r>
        <w:tab/>
        <w:t>S  - właściwość ważna w specyficznych warunkach stosowania</w:t>
      </w:r>
    </w:p>
    <w:p w:rsidR="00C90ABA" w:rsidRDefault="00C90ABA" w:rsidP="00C90ABA">
      <w:pPr>
        <w:ind w:left="708"/>
      </w:pPr>
      <w:r>
        <w:sym w:font="Symbol" w:char="F02D"/>
      </w:r>
      <w:r>
        <w:t xml:space="preserve">  - właściwość nieistotna dla danej funkcji</w:t>
      </w:r>
    </w:p>
    <w:p w:rsidR="00C90ABA" w:rsidRDefault="00C90ABA" w:rsidP="00C90ABA">
      <w:pPr>
        <w:rPr>
          <w:u w:val="single"/>
        </w:rPr>
      </w:pPr>
      <w:r>
        <w:rPr>
          <w:u w:val="single"/>
        </w:rPr>
        <w:t>Uwagi:</w:t>
      </w:r>
    </w:p>
    <w:p w:rsidR="00C90ABA" w:rsidRDefault="00C90ABA" w:rsidP="00C90ABA">
      <w:pPr>
        <w:ind w:firstLine="709"/>
      </w:pPr>
      <w:r>
        <w:rPr>
          <w:vertAlign w:val="superscript"/>
        </w:rPr>
        <w:t xml:space="preserve">a)    </w:t>
      </w:r>
      <w:r>
        <w:t xml:space="preserve">badanie to może nie mieć zastosowania w przypadku niektórych wyrobów, </w:t>
      </w:r>
    </w:p>
    <w:p w:rsidR="00C90ABA" w:rsidRDefault="00C90ABA" w:rsidP="00C90ABA">
      <w:pPr>
        <w:ind w:left="851"/>
      </w:pPr>
      <w:r>
        <w:t xml:space="preserve">   np.  georusztów</w:t>
      </w:r>
    </w:p>
    <w:p w:rsidR="00C90ABA" w:rsidRDefault="00C90ABA" w:rsidP="00C90ABA">
      <w:pPr>
        <w:ind w:left="993" w:hanging="248"/>
      </w:pPr>
      <w:r>
        <w:rPr>
          <w:vertAlign w:val="superscript"/>
        </w:rPr>
        <w:t xml:space="preserve">b) </w:t>
      </w:r>
      <w:r>
        <w:t>oznaczenie ”H” w przypadku właściwości mechanicznych (wytrzymałość na         rozciąganie i przebicie statyczne) oznacza, że producent powinien zapewnić dane z obu badań. W specyfikacji wyrobu wystarczy zamieścić tylko jeden z tych parametrów</w:t>
      </w:r>
    </w:p>
    <w:p w:rsidR="00C90ABA" w:rsidRDefault="00C90ABA" w:rsidP="00C90ABA">
      <w:pPr>
        <w:pStyle w:val="Nagwek2"/>
      </w:pPr>
      <w:r>
        <w:t>1.3. Właściwości identyfikacyjne wyrobu</w:t>
      </w:r>
    </w:p>
    <w:p w:rsidR="00C90ABA" w:rsidRDefault="00C90ABA" w:rsidP="00C90ABA">
      <w:r>
        <w:tab/>
        <w:t>Według PN-ISO 10320:1995 właściwości identyfikacyjne wyrobu obejmują m.in. rodzaj polimeru, wymiary rolki lub arkusza wyrobu, masę powierzchniową według PN-EN 965:1999, dla włóknin grubość przy określonych naciskach badaną zgodnie z normą PN-EN 964-1:1999 i umowną wielkość porów O</w:t>
      </w:r>
      <w:r>
        <w:rPr>
          <w:vertAlign w:val="subscript"/>
        </w:rPr>
        <w:t>90</w:t>
      </w:r>
      <w:r>
        <w:t>, dla geosiatek i georusztów - wielkość oczek.</w:t>
      </w:r>
    </w:p>
    <w:p w:rsidR="00C90ABA" w:rsidRDefault="00C90ABA" w:rsidP="00C90ABA">
      <w:pPr>
        <w:pStyle w:val="Nagwek2"/>
      </w:pPr>
      <w:r>
        <w:t>1.4. Właściwości fizyczno-mechaniczne</w:t>
      </w:r>
    </w:p>
    <w:p w:rsidR="00C90ABA" w:rsidRDefault="00C90ABA" w:rsidP="00C90ABA">
      <w:r>
        <w:tab/>
        <w:t>Właściwości te obejmują zwykle:</w:t>
      </w:r>
    </w:p>
    <w:p w:rsidR="00C90ABA" w:rsidRDefault="00C90ABA" w:rsidP="00C90ABA">
      <w:pPr>
        <w:numPr>
          <w:ilvl w:val="0"/>
          <w:numId w:val="3"/>
        </w:numPr>
      </w:pPr>
      <w:r>
        <w:t>wytrzymałość i odkształcalność wyrobów, badane zgodnie z normą PN-ISO 10319:1996; ważnymi cechami zachowania materiału są wzbudzane siły oporu na rozciąganie przy różnych wydłużeniach jednostkowych, np. 2%, 5% i 10% (sztywność, moduł sieczny) oraz wydłużenie przy zerwaniu,</w:t>
      </w:r>
    </w:p>
    <w:p w:rsidR="00C90ABA" w:rsidRDefault="00C90ABA" w:rsidP="00C90ABA">
      <w:pPr>
        <w:numPr>
          <w:ilvl w:val="0"/>
          <w:numId w:val="3"/>
        </w:numPr>
      </w:pPr>
      <w:r>
        <w:t>opór geowłóknin i geotkanin na przebicie statyczne (w warunkach adaptowanego badania CBR według PN-EN ISO 12236:1998) lub dynamiczne (metoda spadającego stożka według PN-EN 918:1999),</w:t>
      </w:r>
    </w:p>
    <w:p w:rsidR="00C90ABA" w:rsidRDefault="00C90ABA" w:rsidP="00C90ABA">
      <w:pPr>
        <w:numPr>
          <w:ilvl w:val="0"/>
          <w:numId w:val="3"/>
        </w:numPr>
      </w:pPr>
      <w:r>
        <w:t>w specjalnych przypadkach - wytrzymałość na rozciąganie szwów i połączeń według PN-ISO 10321:1996,</w:t>
      </w:r>
    </w:p>
    <w:p w:rsidR="00C90ABA" w:rsidRDefault="00C90ABA" w:rsidP="00C90ABA">
      <w:pPr>
        <w:numPr>
          <w:ilvl w:val="0"/>
          <w:numId w:val="3"/>
        </w:numPr>
      </w:pPr>
      <w:r>
        <w:t>pełzanie przy rozciąganiu według PN-EN ISO 13431 - w odniesieniu do zbrojenia obciążonego długotrwale oraz pełzanie przy ściskaniu - w przypadku mat drenujących.</w:t>
      </w:r>
    </w:p>
    <w:p w:rsidR="00C90ABA" w:rsidRDefault="00C90ABA" w:rsidP="00C90ABA">
      <w:pPr>
        <w:pStyle w:val="Nagwek2"/>
      </w:pPr>
      <w:r>
        <w:t>1.5. Właściwości hydrauliczne</w:t>
      </w:r>
    </w:p>
    <w:p w:rsidR="00C90ABA" w:rsidRDefault="00C90ABA" w:rsidP="00C90ABA">
      <w:pPr>
        <w:numPr>
          <w:ilvl w:val="12"/>
          <w:numId w:val="0"/>
        </w:numPr>
      </w:pPr>
      <w:r>
        <w:tab/>
        <w:t>Podstawowe parametry hydrauliczne wyrobu to:</w:t>
      </w:r>
    </w:p>
    <w:p w:rsidR="00C90ABA" w:rsidRDefault="00C90ABA" w:rsidP="00C90ABA">
      <w:pPr>
        <w:numPr>
          <w:ilvl w:val="0"/>
          <w:numId w:val="3"/>
        </w:numPr>
      </w:pPr>
      <w:r>
        <w:t xml:space="preserve">wodoprzepuszczalność prostopadła do płaszczyzny wyrobu </w:t>
      </w:r>
      <w:r>
        <w:rPr>
          <w:i/>
        </w:rPr>
        <w:t>k</w:t>
      </w:r>
      <w:r>
        <w:rPr>
          <w:vertAlign w:val="subscript"/>
        </w:rPr>
        <w:t>v</w:t>
      </w:r>
      <w:r>
        <w:t>,</w:t>
      </w:r>
    </w:p>
    <w:p w:rsidR="00C90ABA" w:rsidRDefault="00C90ABA" w:rsidP="00C90ABA">
      <w:pPr>
        <w:numPr>
          <w:ilvl w:val="0"/>
          <w:numId w:val="3"/>
        </w:numPr>
      </w:pPr>
      <w:r>
        <w:t xml:space="preserve">wodoprzepuszczalność (geowłóknin) w płaszczyźnie wyrobu </w:t>
      </w:r>
      <w:r>
        <w:rPr>
          <w:i/>
        </w:rPr>
        <w:t>k</w:t>
      </w:r>
      <w:r>
        <w:rPr>
          <w:vertAlign w:val="subscript"/>
        </w:rPr>
        <w:t>h</w:t>
      </w:r>
      <w:r>
        <w:t>,</w:t>
      </w:r>
    </w:p>
    <w:p w:rsidR="00C90ABA" w:rsidRDefault="00C90ABA" w:rsidP="00C90ABA">
      <w:pPr>
        <w:numPr>
          <w:ilvl w:val="0"/>
          <w:numId w:val="3"/>
        </w:numPr>
      </w:pPr>
      <w:r>
        <w:t>charakterystyczna wielkość porów O</w:t>
      </w:r>
      <w:r>
        <w:rPr>
          <w:vertAlign w:val="subscript"/>
        </w:rPr>
        <w:t>90</w:t>
      </w:r>
      <w:r>
        <w:t xml:space="preserve"> lub O</w:t>
      </w:r>
      <w:r>
        <w:rPr>
          <w:vertAlign w:val="subscript"/>
        </w:rPr>
        <w:t>95</w:t>
      </w:r>
      <w:r>
        <w:t>.</w:t>
      </w:r>
    </w:p>
    <w:p w:rsidR="00C90ABA" w:rsidRDefault="00C90ABA" w:rsidP="00C90ABA">
      <w:r>
        <w:tab/>
        <w:t>Badania tych parametrów są istotne w przypadku funkcji filtracyjnej geowłóknin i geotkanin, mają też znaczenie w odniesieniu do funkcji rozdzielania. Właściwości hydrauliczne badane są według norm ISO lub EN i ich wersji krajowych.</w:t>
      </w:r>
    </w:p>
    <w:p w:rsidR="00C90ABA" w:rsidRDefault="00C90ABA" w:rsidP="00C90ABA">
      <w:pPr>
        <w:numPr>
          <w:ilvl w:val="12"/>
          <w:numId w:val="0"/>
        </w:numPr>
      </w:pPr>
      <w:r>
        <w:tab/>
        <w:t xml:space="preserve">Wodoprzepuszczalność prostopadłą do płaszczyzny wyrobu </w:t>
      </w:r>
      <w:r>
        <w:rPr>
          <w:i/>
        </w:rPr>
        <w:t>k</w:t>
      </w:r>
      <w:r>
        <w:rPr>
          <w:vertAlign w:val="subscript"/>
        </w:rPr>
        <w:t>v</w:t>
      </w:r>
      <w:r>
        <w:t xml:space="preserve"> bada się np. zgodnie z PN-EN ISO 11058 (bez obciążenia) lub z projektem E DIN 60500 Teil 4:1997 (pod obciążeniami 2, 20 i 200 kPa). Wodoprzepuszczalność w płaszczyźnie wyrobu </w:t>
      </w:r>
      <w:r>
        <w:rPr>
          <w:i/>
        </w:rPr>
        <w:t>k</w:t>
      </w:r>
      <w:r>
        <w:rPr>
          <w:vertAlign w:val="subscript"/>
        </w:rPr>
        <w:t>h</w:t>
      </w:r>
      <w:r>
        <w:t xml:space="preserve"> bada się zgodnie z PN-EN ISO 12958 (pod różnymi obciążeniami).</w:t>
      </w:r>
    </w:p>
    <w:p w:rsidR="00C90ABA" w:rsidRDefault="00C90ABA" w:rsidP="00C90ABA">
      <w:pPr>
        <w:pStyle w:val="Nagwek2"/>
        <w:numPr>
          <w:ilvl w:val="12"/>
          <w:numId w:val="0"/>
        </w:numPr>
      </w:pPr>
      <w:r>
        <w:t>1.6. Odporność na uszkodzenia mechaniczne podczas wbudowania</w:t>
      </w:r>
    </w:p>
    <w:p w:rsidR="00C90ABA" w:rsidRDefault="00C90ABA" w:rsidP="00C90ABA">
      <w:pPr>
        <w:numPr>
          <w:ilvl w:val="12"/>
          <w:numId w:val="0"/>
        </w:numPr>
        <w:ind w:firstLine="709"/>
      </w:pPr>
      <w:r>
        <w:t>Odporność na uszkodzenia związana jest z właściwościami mechanicznymi i strukturą wyrobu. Dla wyrobów stosowanych jako zbrojenie gruntu lub wzmocnienie wymagane są zwykle próby na budowie. Badanie służy do określenia współczynnika redukcji wytrzymałości wyrobu po wbudowaniu (zasypaniu i zagęszczeniu zasypki), a następnie odkopaniu wyrobu. Warunki wbudowania mogą też być symulowane na podstawie prób laboratoryjnych według ENV ISO 10722-1.</w:t>
      </w:r>
    </w:p>
    <w:p w:rsidR="00C90ABA" w:rsidRDefault="00C90ABA" w:rsidP="00C90ABA">
      <w:pPr>
        <w:pStyle w:val="Nagwek2"/>
        <w:numPr>
          <w:ilvl w:val="12"/>
          <w:numId w:val="0"/>
        </w:numPr>
      </w:pPr>
      <w:r>
        <w:t>1.7. Tarcie po gruncie (przyczepność)</w:t>
      </w:r>
    </w:p>
    <w:p w:rsidR="00C90ABA" w:rsidRDefault="00C90ABA" w:rsidP="00C90ABA">
      <w:pPr>
        <w:numPr>
          <w:ilvl w:val="12"/>
          <w:numId w:val="0"/>
        </w:numPr>
      </w:pPr>
      <w:r>
        <w:tab/>
        <w:t>Współczynnik tarcia ma istotne znaczenie w przypadku zbrojenia gruntu oraz materiałów układanych na skarpach. Wartości tarcia między gruntem a materiałem można badać według EN ISO 12957 w specjalnych aparatach skrzynkowych. W szczególnych przypadkach badane jest tarcie po innych materiałach.</w:t>
      </w:r>
    </w:p>
    <w:p w:rsidR="00C90ABA" w:rsidRDefault="00C90ABA" w:rsidP="00C90ABA">
      <w:pPr>
        <w:numPr>
          <w:ilvl w:val="12"/>
          <w:numId w:val="0"/>
        </w:numPr>
      </w:pPr>
      <w:r>
        <w:tab/>
        <w:t>Współczynnik tarcia między gruntem zasypki a materiałem geotekstylnym jest zwykle w granicach:</w:t>
      </w:r>
    </w:p>
    <w:p w:rsidR="00C90ABA" w:rsidRDefault="00C90ABA" w:rsidP="00C90ABA">
      <w:pPr>
        <w:numPr>
          <w:ilvl w:val="0"/>
          <w:numId w:val="3"/>
        </w:numPr>
      </w:pPr>
      <w:r>
        <w:t>po geowłókninach i geotkaninach</w:t>
      </w:r>
      <w:r>
        <w:tab/>
      </w:r>
      <w:r>
        <w:sym w:font="Symbol" w:char="F0A6"/>
      </w:r>
      <w:r>
        <w:t xml:space="preserve"> = (0,6 </w:t>
      </w:r>
      <w:r>
        <w:sym w:font="Symbol" w:char="F0B8"/>
      </w:r>
      <w:r>
        <w:t xml:space="preserve"> 0,7) tg </w:t>
      </w:r>
      <w:r>
        <w:sym w:font="Symbol" w:char="F046"/>
      </w:r>
      <w:r>
        <w:rPr>
          <w:vertAlign w:val="subscript"/>
        </w:rPr>
        <w:t>z</w:t>
      </w:r>
      <w:r>
        <w:t>,</w:t>
      </w:r>
    </w:p>
    <w:p w:rsidR="00C90ABA" w:rsidRDefault="00C90ABA" w:rsidP="00C90ABA">
      <w:pPr>
        <w:numPr>
          <w:ilvl w:val="0"/>
          <w:numId w:val="3"/>
        </w:numPr>
      </w:pPr>
      <w:r>
        <w:t>po geosiatkach (georusztach)</w:t>
      </w:r>
      <w:r>
        <w:tab/>
      </w:r>
      <w:r>
        <w:tab/>
      </w:r>
      <w:r>
        <w:sym w:font="Symbol" w:char="F0A6"/>
      </w:r>
      <w:r>
        <w:t xml:space="preserve"> = (0,8 </w:t>
      </w:r>
      <w:r>
        <w:sym w:font="Symbol" w:char="F0B8"/>
      </w:r>
      <w:r>
        <w:t xml:space="preserve"> 1,0) tg </w:t>
      </w:r>
      <w:r>
        <w:sym w:font="Symbol" w:char="F046"/>
      </w:r>
      <w:r>
        <w:rPr>
          <w:vertAlign w:val="subscript"/>
        </w:rPr>
        <w:t>z</w:t>
      </w:r>
      <w:r>
        <w:t>.</w:t>
      </w:r>
    </w:p>
    <w:p w:rsidR="00C90ABA" w:rsidRDefault="00C90ABA" w:rsidP="00C90ABA">
      <w:r>
        <w:t xml:space="preserve">gdzie </w:t>
      </w:r>
      <w:r>
        <w:sym w:font="Symbol" w:char="F046"/>
      </w:r>
      <w:r>
        <w:rPr>
          <w:vertAlign w:val="subscript"/>
        </w:rPr>
        <w:t>z</w:t>
      </w:r>
      <w:r>
        <w:t xml:space="preserve"> - kąt tarcia wewnętrznego materiału zasypki. W gruntach spoistych można uwzględnić też wpływ przyczepności (adhezji).</w:t>
      </w:r>
    </w:p>
    <w:p w:rsidR="00C90ABA" w:rsidRDefault="00C90ABA" w:rsidP="00C90ABA">
      <w:pPr>
        <w:numPr>
          <w:ilvl w:val="12"/>
          <w:numId w:val="0"/>
        </w:numPr>
      </w:pPr>
      <w:r>
        <w:tab/>
        <w:t xml:space="preserve">W przypadku braku danych doświadczalnych zaleca się przyjmować wartość minimalną </w:t>
      </w:r>
      <w:r>
        <w:sym w:font="Symbol" w:char="F0A6"/>
      </w:r>
      <w:r>
        <w:rPr>
          <w:vertAlign w:val="subscript"/>
        </w:rPr>
        <w:t>min</w:t>
      </w:r>
      <w:r>
        <w:t xml:space="preserve"> = 0,5 tg </w:t>
      </w:r>
      <w:r>
        <w:sym w:font="Symbol" w:char="F046"/>
      </w:r>
      <w:r>
        <w:rPr>
          <w:vertAlign w:val="subscript"/>
        </w:rPr>
        <w:t>z</w:t>
      </w:r>
      <w:r>
        <w:t>.</w:t>
      </w:r>
    </w:p>
    <w:p w:rsidR="00C90ABA" w:rsidRDefault="00C90ABA" w:rsidP="00C90ABA">
      <w:pPr>
        <w:pStyle w:val="Nagwek2"/>
        <w:numPr>
          <w:ilvl w:val="12"/>
          <w:numId w:val="0"/>
        </w:numPr>
      </w:pPr>
      <w:r>
        <w:t>1.8. Trwałość geosyntetyków</w:t>
      </w:r>
    </w:p>
    <w:p w:rsidR="00C90ABA" w:rsidRDefault="00C90ABA" w:rsidP="00C90ABA">
      <w:pPr>
        <w:numPr>
          <w:ilvl w:val="12"/>
          <w:numId w:val="0"/>
        </w:numPr>
      </w:pPr>
      <w:r>
        <w:tab/>
        <w:t>Trwałość geosyntetyków w przeciętnych warunkach jest bardzo duża, wystarczająca do potrzeb budownictwa drogowego. Decydują o niej odporność na działanie czynników klimatycznych (atmosferycznych) oraz na wpływy chemiczne i biologiczne. W zastosowaniach drogowych zgodnie z normą PN-EN 13249 badania trwałości są potrzebne tylko w specyficznych warunkach, np. gdy nie przewiduje się bezpośredniego przykrycia wyrobu gruntem lub gdy występują szczególne zagrożenia środowiskowe. Ogólnie wyroby należy chronić przed dłuższym działaniem światła. Wyroby są zazwyczaj stabilizowane na działanie promieni UV dodatkami np. sadzy, dzięki czemu mogą być odporne na nawet długotrwałą ekspozycję. Zalecane jest jednak szybkie wbudowanie geosyntetyków i przykrycie ich gruntem.</w:t>
      </w:r>
    </w:p>
    <w:p w:rsidR="00C90ABA" w:rsidRDefault="00C90ABA" w:rsidP="00C90ABA">
      <w:pPr>
        <w:numPr>
          <w:ilvl w:val="12"/>
          <w:numId w:val="0"/>
        </w:numPr>
      </w:pPr>
      <w:r>
        <w:tab/>
        <w:t>Znaczenie czynnika trwałości zależy od rodzaju zastosowania. Mniej istotne jest przy zastosowaniach krótkoterminowych, np. jako:</w:t>
      </w:r>
    </w:p>
    <w:p w:rsidR="00C90ABA" w:rsidRDefault="00C90ABA" w:rsidP="00C90ABA">
      <w:pPr>
        <w:numPr>
          <w:ilvl w:val="0"/>
          <w:numId w:val="3"/>
        </w:numPr>
      </w:pPr>
      <w:r>
        <w:t>warstwy rozdzielcze pod układanym gruntem nasypowym, traktowane jako wspomaganie technologiczne, potrzebne głównie w momencie wbudowania,</w:t>
      </w:r>
    </w:p>
    <w:p w:rsidR="00C90ABA" w:rsidRDefault="00C90ABA" w:rsidP="00C90ABA">
      <w:pPr>
        <w:numPr>
          <w:ilvl w:val="0"/>
          <w:numId w:val="3"/>
        </w:numPr>
      </w:pPr>
      <w:r>
        <w:t>zbrojenie nasypów na słabym podłożu, którego nośność w wyniku konsolidacji gruntu wzrasta z czasem na tyle, że może samo przejąć obciążenie.</w:t>
      </w:r>
    </w:p>
    <w:p w:rsidR="00C90ABA" w:rsidRDefault="00C90ABA" w:rsidP="00C90ABA">
      <w:r>
        <w:tab/>
        <w:t>Zasadnicze znaczenie ma trwałość w przypadku zastosowań długoterminowych w odniesieniu do:</w:t>
      </w:r>
    </w:p>
    <w:p w:rsidR="00C90ABA" w:rsidRDefault="00C90ABA" w:rsidP="00C90ABA">
      <w:pPr>
        <w:numPr>
          <w:ilvl w:val="0"/>
          <w:numId w:val="3"/>
        </w:numPr>
      </w:pPr>
      <w:r>
        <w:t>wytrzymałości i odkształcalności - zbrojenia masywów gruntowych (konstrukcji oporowych, stromych skarp), których bezpieczeństwo musi zostać zapewnione przez wytrzymałość geosyntetyków, a także wzmacniania podłoża nawierzchni,</w:t>
      </w:r>
    </w:p>
    <w:p w:rsidR="00C90ABA" w:rsidRDefault="00C90ABA" w:rsidP="00C90ABA">
      <w:pPr>
        <w:numPr>
          <w:ilvl w:val="0"/>
          <w:numId w:val="3"/>
        </w:numPr>
      </w:pPr>
      <w:r>
        <w:t>wodoprzepuszczalności filtrów w systemach odwadniających.</w:t>
      </w:r>
    </w:p>
    <w:p w:rsidR="00C90ABA" w:rsidRDefault="00C90ABA" w:rsidP="00C90ABA">
      <w:pPr>
        <w:pStyle w:val="Nagwek2"/>
      </w:pPr>
      <w:r>
        <w:t>1.9. Wybór materiałów geosyntetycznych</w:t>
      </w:r>
    </w:p>
    <w:p w:rsidR="00C90ABA" w:rsidRDefault="00C90ABA" w:rsidP="00C90ABA">
      <w:pPr>
        <w:numPr>
          <w:ilvl w:val="12"/>
          <w:numId w:val="0"/>
        </w:numPr>
      </w:pPr>
      <w:r>
        <w:tab/>
        <w:t>Wyboru rodzaju i gatunku materiału należy dokonywać w zależności od jego przeznaczenia (rodzaju zastosowania) oraz od wymaganych właściwości mechanicznych, odporności na uszkodzenia podczas wbudowania, tarcia po gruncie, odporności na czynniki klimatyczne (atmosferyczne), chemiczne, parametrów hydraulicznych itp.</w:t>
      </w:r>
    </w:p>
    <w:p w:rsidR="00C90ABA" w:rsidRDefault="00C90ABA" w:rsidP="00C90ABA">
      <w:pPr>
        <w:numPr>
          <w:ilvl w:val="12"/>
          <w:numId w:val="0"/>
        </w:numPr>
      </w:pPr>
      <w:r>
        <w:tab/>
        <w:t>Wybór z wymiarowaniem materiału do zastosowań w budowli drogowej może być dokonany na podstawie szczegółowych obliczeń.</w:t>
      </w:r>
    </w:p>
    <w:p w:rsidR="00C90ABA" w:rsidRDefault="00C90ABA" w:rsidP="00C90ABA">
      <w:pPr>
        <w:numPr>
          <w:ilvl w:val="12"/>
          <w:numId w:val="0"/>
        </w:numPr>
      </w:pPr>
      <w:r>
        <w:tab/>
        <w:t>W przypadkach, gdy przeprowadza się szczegółowe obliczenia, należy dla założonego okresu eksploatacji, obciążeń i środowiska sprawdzić dwa warunki:</w:t>
      </w:r>
    </w:p>
    <w:p w:rsidR="00C90ABA" w:rsidRDefault="00C90ABA" w:rsidP="00C90ABA">
      <w:pPr>
        <w:numPr>
          <w:ilvl w:val="0"/>
          <w:numId w:val="3"/>
        </w:numPr>
      </w:pPr>
      <w:r>
        <w:t>wytrzymałości na rozciąganie,</w:t>
      </w:r>
    </w:p>
    <w:p w:rsidR="00C90ABA" w:rsidRDefault="00C90ABA" w:rsidP="00C90ABA">
      <w:pPr>
        <w:numPr>
          <w:ilvl w:val="0"/>
          <w:numId w:val="3"/>
        </w:numPr>
      </w:pPr>
      <w:r>
        <w:t>dopuszczalnych odkształceń.</w:t>
      </w:r>
    </w:p>
    <w:p w:rsidR="00C90ABA" w:rsidRDefault="00C90ABA" w:rsidP="00C90ABA">
      <w:r>
        <w:tab/>
        <w:t xml:space="preserve">Wyroby należy wymiarować na podstawie nominalnej wytrzymałości na rozciąganie </w:t>
      </w:r>
      <w:r>
        <w:rPr>
          <w:i/>
        </w:rPr>
        <w:t>F</w:t>
      </w:r>
      <w:r>
        <w:rPr>
          <w:vertAlign w:val="subscript"/>
        </w:rPr>
        <w:t>k</w:t>
      </w:r>
      <w:r>
        <w:t xml:space="preserve">, badanej zgodnie z normą PN-ISO 10319:1996. Jest to wytrzymałość charakterystyczna, krótkotrwała, gwarantowana przez producenta z 95% poziomem ufności. Przyjmowaną do wymiarowania wytrzymałość obliczeniową </w:t>
      </w:r>
      <w:r>
        <w:rPr>
          <w:i/>
        </w:rPr>
        <w:t>F</w:t>
      </w:r>
      <w:r>
        <w:rPr>
          <w:vertAlign w:val="subscript"/>
        </w:rPr>
        <w:t>d</w:t>
      </w:r>
      <w:r>
        <w:t xml:space="preserve"> materiału należy wyznaczać (np. według normy BS 8006:1995), dzieląc wytrzymałość charakterystyczną przez iloczyn współczynników bezpieczeństwa. Są to: materiałowy współczynnik bezpieczeństwa oraz współczynniki częściowe, uwzględniające wpływ różnych czynników np. pełzanie dla danego stopnia obciążenia i czasu użytkowania obiektu, uszkodzenia podczas wbudowania, osłabienia na połączeniach, wpływy dynamiczne, a w zastosowaniach długotrwałych także szkodliwe oddziaływania środowiska - klimatyczne, chemiczne i starzenie tworzywa. Wartości współczynników zależą od rodzaju wyrobu i tworzywa, konkretnych warunków zastosowania i okresu użytkowania. Niektóre wartości powinny być określone na podstawie specjalnych badań terenowych lub laboratoryjnych i podane przez producenta wyrobu. W wyniku redukcji wytrzymałość obliczeniowa może stanowić jedynie 10% do 40% wartości nominalnej </w:t>
      </w:r>
      <w:r>
        <w:rPr>
          <w:i/>
        </w:rPr>
        <w:t>F</w:t>
      </w:r>
      <w:r>
        <w:rPr>
          <w:vertAlign w:val="subscript"/>
        </w:rPr>
        <w:t>k</w:t>
      </w:r>
      <w:r>
        <w:t>, w zależności od rodzaju polimeru, wymaganego okresu trwałości i warunków obciążenia.</w:t>
      </w:r>
    </w:p>
    <w:p w:rsidR="00C90ABA" w:rsidRDefault="00C90ABA" w:rsidP="00C90ABA">
      <w:r>
        <w:tab/>
        <w:t>Warunek zachowania dopuszczalnych odkształceń polega na sprawdzeniu jednostkowego wydłużenia zbrojenia, odkształceń lub przemieszczeń elementów i całej konstrukcji lub budowli ziemnej (np. według normy BS 8006).</w:t>
      </w:r>
    </w:p>
    <w:p w:rsidR="00C90ABA" w:rsidRDefault="00C90ABA" w:rsidP="00C90ABA"/>
    <w:p w:rsidR="00C90ABA" w:rsidRDefault="00C90ABA" w:rsidP="00C90ABA">
      <w:pPr>
        <w:jc w:val="right"/>
        <w:rPr>
          <w:b/>
        </w:rPr>
      </w:pPr>
      <w:r>
        <w:rPr>
          <w:b/>
        </w:rPr>
        <w:t>ZAŁĄCZNIK 2</w:t>
      </w:r>
    </w:p>
    <w:p w:rsidR="00C90ABA" w:rsidRDefault="00C90ABA" w:rsidP="00C90ABA">
      <w:pPr>
        <w:jc w:val="right"/>
        <w:rPr>
          <w:b/>
        </w:rPr>
      </w:pPr>
    </w:p>
    <w:p w:rsidR="00C90ABA" w:rsidRDefault="00C90ABA" w:rsidP="00C90ABA">
      <w:pPr>
        <w:jc w:val="center"/>
        <w:rPr>
          <w:b/>
        </w:rPr>
      </w:pPr>
      <w:r>
        <w:rPr>
          <w:b/>
        </w:rPr>
        <w:t>ZASADY  WZMOCNIENIA  PODSTAWY  NASYPU  GEOSYNTETYKIEM (wg [4])</w:t>
      </w:r>
    </w:p>
    <w:p w:rsidR="00C90ABA" w:rsidRDefault="00C90ABA" w:rsidP="00C90ABA">
      <w:pPr>
        <w:pStyle w:val="Nagwek2"/>
      </w:pPr>
      <w:r>
        <w:t>2.1. Kryteria stosowania warstw oddzielających</w:t>
      </w:r>
    </w:p>
    <w:p w:rsidR="00C90ABA" w:rsidRDefault="00C90ABA" w:rsidP="00C90ABA">
      <w:r>
        <w:tab/>
        <w:t>Przy zastosowaniu geosyntetyku jako warstwy oddzielającej korpus nasypu od słabego podłoża (rys. 2.1) zaleca się stosowanie materiałów o wytrzymałości na rozciąganie co najmniej 8 kN/m oraz dużej odkształcalności (np. włókniny o wydłużeniu przy zerwaniu co najmniej 40%) oraz materiały te powinny zapewnić swobodny przepływ wody.</w:t>
      </w:r>
    </w:p>
    <w:p w:rsidR="00C90ABA" w:rsidRDefault="00C90ABA" w:rsidP="00C90ABA">
      <w:r>
        <w:tab/>
        <w:t xml:space="preserve">Wzmocnienie słabego podłoża przy istnieniu nawierzchni ulepszonych i nieulepszonych jest wymagane, gdy moduł wtórny odkształcenia podłoża </w:t>
      </w:r>
      <w:r>
        <w:rPr>
          <w:i/>
        </w:rPr>
        <w:t>E</w:t>
      </w:r>
      <w:r>
        <w:rPr>
          <w:vertAlign w:val="subscript"/>
        </w:rPr>
        <w:t>2</w:t>
      </w:r>
      <w:r>
        <w:t xml:space="preserve"> jest mniejszy od wartości wymaganej przez odpowiednie przepisy. Na przykład według przepisów niemieckich minimalna wartość modułu </w:t>
      </w:r>
      <w:r>
        <w:rPr>
          <w:i/>
        </w:rPr>
        <w:t>E</w:t>
      </w:r>
      <w:r>
        <w:rPr>
          <w:vertAlign w:val="subscript"/>
        </w:rPr>
        <w:t>2</w:t>
      </w:r>
      <w:r>
        <w:t xml:space="preserve">  na powierzchni podłoża wynosi 45 MN/m</w:t>
      </w:r>
      <w:r>
        <w:rPr>
          <w:vertAlign w:val="superscript"/>
        </w:rPr>
        <w:t>2</w:t>
      </w:r>
      <w:r>
        <w:t xml:space="preserve">. Zgodnie z wytycznymi niemieckimi zastosowanie warstwy geosyntetycznej jako wzmocnienia podłoża jest zalecane, jeżeli jego moduł </w:t>
      </w:r>
      <w:r>
        <w:rPr>
          <w:i/>
        </w:rPr>
        <w:t>E</w:t>
      </w:r>
      <w:r>
        <w:rPr>
          <w:vertAlign w:val="subscript"/>
        </w:rPr>
        <w:t xml:space="preserve">2 </w:t>
      </w:r>
      <w:r>
        <w:t>jest mniejszy od 30 MN/m</w:t>
      </w:r>
      <w:r>
        <w:rPr>
          <w:vertAlign w:val="superscript"/>
        </w:rPr>
        <w:t>2</w:t>
      </w:r>
      <w:r>
        <w:t xml:space="preserve">, a grubość warstwy potrzebnej wymiany gruntu byłaby nadmierna. W takim przypadku, aby zachować projektowaną niweletę i grubość warstw konstrukcji nawierzchni, należy usunąć górną warstwę słabego gruntu i po wyrównaniu powierzchni ułożyć materiał geosyntetyczny. Zalecane jest użycie geosyntetyków o sztywności zapewniającej przy rozciąganiu siłą 10 kN/m wydłużenie </w:t>
      </w:r>
      <w:r>
        <w:sym w:font="Symbol" w:char="F0A3"/>
      </w:r>
      <w:r>
        <w:t xml:space="preserve"> 3% (w każdym kierunku). Potrzebne wzmocnienie oraz grubość układanej na nim warstwy podbudowy pomocniczej z kruszywa są określane w projekcie nawierzchni, lecz powinna ona wynosić co najmniej 30 cm.</w:t>
      </w:r>
    </w:p>
    <w:p w:rsidR="00C90ABA" w:rsidRDefault="00C90ABA" w:rsidP="00C90ABA">
      <w:r>
        <w:tab/>
        <w:t xml:space="preserve">Geosyntetyki układa się zwykle wzdłuż nawierzchni z zakładem co najmniej            50 cm, ewentualnie łącząc pasma. W przypadku układania w poprzek nawierzchni zakład pasm powinien wynosić co najmniej 50 cm. Zasypkę układa się od czoła. Niedopuszczalny jest ruch bezpośrednio po geosyntetykach. Warstwę kruszywa zagęszcza się do wymaganego, możliwego do uzyskania, wskaźnika zagęszczenia (zwykle </w:t>
      </w:r>
      <w:r>
        <w:rPr>
          <w:i/>
        </w:rPr>
        <w:t>I</w:t>
      </w:r>
      <w:r>
        <w:rPr>
          <w:vertAlign w:val="subscript"/>
        </w:rPr>
        <w:t>s</w:t>
      </w:r>
      <w:r>
        <w:t xml:space="preserve"> = 1,0).</w:t>
      </w:r>
    </w:p>
    <w:p w:rsidR="00C90ABA" w:rsidRDefault="00C90ABA" w:rsidP="00C90ABA">
      <w:r>
        <w:tab/>
        <w:t xml:space="preserve">Skuteczność wzmocnienia można sprawdzić  np. przez pomiar wtórnego modułu odkształcenia podłoża </w:t>
      </w:r>
      <w:r>
        <w:rPr>
          <w:i/>
        </w:rPr>
        <w:t>E</w:t>
      </w:r>
      <w:r>
        <w:rPr>
          <w:vertAlign w:val="subscript"/>
        </w:rPr>
        <w:t>2</w:t>
      </w:r>
      <w:r>
        <w:t>, który powinien być nie mniejszy od 45 MN/m</w:t>
      </w:r>
      <w:r>
        <w:rPr>
          <w:vertAlign w:val="superscript"/>
        </w:rPr>
        <w:t>2</w:t>
      </w:r>
      <w:r>
        <w:t>. Miarodajny jest wynik badania po co najmniej 3-4 dniach po zagęszczeniu warstwy kruszywa.</w:t>
      </w:r>
    </w:p>
    <w:p w:rsidR="00C90ABA" w:rsidRDefault="00C90ABA" w:rsidP="00C90ABA">
      <w:pPr>
        <w:spacing w:after="120"/>
      </w:pPr>
      <w:r>
        <w:tab/>
        <w:t>Przepisy szwajcarskie podają dla warstwy oddzielającej poniżej nasypu gruntowego na słabym podłożu następujące kryteria:</w:t>
      </w:r>
    </w:p>
    <w:tbl>
      <w:tblPr>
        <w:tblW w:w="0" w:type="auto"/>
        <w:tblLayout w:type="fixed"/>
        <w:tblCellMar>
          <w:left w:w="70" w:type="dxa"/>
          <w:right w:w="70" w:type="dxa"/>
        </w:tblCellMar>
        <w:tblLook w:val="04A0" w:firstRow="1" w:lastRow="0" w:firstColumn="1" w:lastColumn="0" w:noHBand="0" w:noVBand="1"/>
      </w:tblPr>
      <w:tblGrid>
        <w:gridCol w:w="3898"/>
        <w:gridCol w:w="1806"/>
        <w:gridCol w:w="1806"/>
      </w:tblGrid>
      <w:tr w:rsidR="00C90ABA" w:rsidTr="00C90ABA">
        <w:tc>
          <w:tcPr>
            <w:tcW w:w="3898" w:type="dxa"/>
          </w:tcPr>
          <w:p w:rsidR="00C90ABA" w:rsidRDefault="00C90ABA"/>
        </w:tc>
        <w:tc>
          <w:tcPr>
            <w:tcW w:w="1806" w:type="dxa"/>
            <w:hideMark/>
          </w:tcPr>
          <w:p w:rsidR="00C90ABA" w:rsidRDefault="00C90ABA">
            <w:pPr>
              <w:jc w:val="center"/>
            </w:pPr>
            <w:r>
              <w:t>geowłókniny</w:t>
            </w:r>
          </w:p>
        </w:tc>
        <w:tc>
          <w:tcPr>
            <w:tcW w:w="1806" w:type="dxa"/>
            <w:hideMark/>
          </w:tcPr>
          <w:p w:rsidR="00C90ABA" w:rsidRDefault="00C90ABA">
            <w:pPr>
              <w:jc w:val="center"/>
            </w:pPr>
            <w:r>
              <w:t>geotkaniny</w:t>
            </w:r>
          </w:p>
        </w:tc>
      </w:tr>
      <w:tr w:rsidR="00C90ABA" w:rsidTr="00C90ABA">
        <w:tc>
          <w:tcPr>
            <w:tcW w:w="3898" w:type="dxa"/>
            <w:hideMark/>
          </w:tcPr>
          <w:p w:rsidR="00C90ABA" w:rsidRDefault="00C90ABA">
            <w:r>
              <w:t>masa powierzchniowa g/m</w:t>
            </w:r>
            <w:r>
              <w:rPr>
                <w:vertAlign w:val="superscript"/>
              </w:rPr>
              <w:t>2</w:t>
            </w:r>
          </w:p>
        </w:tc>
        <w:tc>
          <w:tcPr>
            <w:tcW w:w="1806" w:type="dxa"/>
            <w:hideMark/>
          </w:tcPr>
          <w:p w:rsidR="00C90ABA" w:rsidRDefault="00C90ABA">
            <w:pPr>
              <w:jc w:val="center"/>
            </w:pPr>
            <w:r>
              <w:sym w:font="Symbol" w:char="F0B3"/>
            </w:r>
            <w:r>
              <w:t xml:space="preserve"> 200</w:t>
            </w:r>
          </w:p>
        </w:tc>
        <w:tc>
          <w:tcPr>
            <w:tcW w:w="1806" w:type="dxa"/>
            <w:hideMark/>
          </w:tcPr>
          <w:p w:rsidR="00C90ABA" w:rsidRDefault="00C90ABA">
            <w:pPr>
              <w:jc w:val="center"/>
            </w:pPr>
            <w:r>
              <w:sym w:font="Symbol" w:char="F0B3"/>
            </w:r>
            <w:r>
              <w:t xml:space="preserve"> 200</w:t>
            </w:r>
          </w:p>
        </w:tc>
      </w:tr>
      <w:tr w:rsidR="00C90ABA" w:rsidTr="00C90ABA">
        <w:tc>
          <w:tcPr>
            <w:tcW w:w="3898" w:type="dxa"/>
            <w:hideMark/>
          </w:tcPr>
          <w:p w:rsidR="00C90ABA" w:rsidRDefault="00C90ABA">
            <w:r>
              <w:t>wytrzymałość na rozciąganie kN/m</w:t>
            </w:r>
          </w:p>
        </w:tc>
        <w:tc>
          <w:tcPr>
            <w:tcW w:w="1806" w:type="dxa"/>
            <w:hideMark/>
          </w:tcPr>
          <w:p w:rsidR="00C90ABA" w:rsidRDefault="00C90ABA">
            <w:pPr>
              <w:jc w:val="center"/>
            </w:pPr>
            <w:r>
              <w:sym w:font="Symbol" w:char="F0B3"/>
            </w:r>
            <w:r>
              <w:t xml:space="preserve"> 15</w:t>
            </w:r>
          </w:p>
        </w:tc>
        <w:tc>
          <w:tcPr>
            <w:tcW w:w="1806" w:type="dxa"/>
            <w:hideMark/>
          </w:tcPr>
          <w:p w:rsidR="00C90ABA" w:rsidRDefault="00C90ABA">
            <w:pPr>
              <w:jc w:val="center"/>
            </w:pPr>
            <w:r>
              <w:sym w:font="Symbol" w:char="F0B3"/>
            </w:r>
            <w:r>
              <w:t xml:space="preserve"> 40</w:t>
            </w:r>
          </w:p>
        </w:tc>
      </w:tr>
      <w:tr w:rsidR="00C90ABA" w:rsidTr="00C90ABA">
        <w:tc>
          <w:tcPr>
            <w:tcW w:w="3898" w:type="dxa"/>
            <w:hideMark/>
          </w:tcPr>
          <w:p w:rsidR="00C90ABA" w:rsidRDefault="00C90ABA">
            <w:r>
              <w:t>wydłużenie przy zerwaniu %</w:t>
            </w:r>
          </w:p>
        </w:tc>
        <w:tc>
          <w:tcPr>
            <w:tcW w:w="1806" w:type="dxa"/>
            <w:hideMark/>
          </w:tcPr>
          <w:p w:rsidR="00C90ABA" w:rsidRDefault="00C90ABA">
            <w:pPr>
              <w:jc w:val="center"/>
            </w:pPr>
            <w:r>
              <w:sym w:font="Symbol" w:char="F0B3"/>
            </w:r>
            <w:r>
              <w:t xml:space="preserve"> 40</w:t>
            </w:r>
          </w:p>
        </w:tc>
        <w:tc>
          <w:tcPr>
            <w:tcW w:w="1806" w:type="dxa"/>
            <w:hideMark/>
          </w:tcPr>
          <w:p w:rsidR="00C90ABA" w:rsidRDefault="00C90ABA">
            <w:pPr>
              <w:jc w:val="center"/>
            </w:pPr>
            <w:r>
              <w:sym w:font="Symbol" w:char="F0B3"/>
            </w:r>
            <w:r>
              <w:t xml:space="preserve"> 25</w:t>
            </w:r>
          </w:p>
        </w:tc>
      </w:tr>
      <w:tr w:rsidR="00C90ABA" w:rsidTr="00C90ABA">
        <w:tc>
          <w:tcPr>
            <w:tcW w:w="3898" w:type="dxa"/>
            <w:hideMark/>
          </w:tcPr>
          <w:p w:rsidR="00C90ABA" w:rsidRDefault="00C90ABA">
            <w:r>
              <w:t>siła przebijania (badanie CBR) (x</w:t>
            </w:r>
            <w:r>
              <w:rPr>
                <w:vertAlign w:val="superscript"/>
              </w:rPr>
              <w:t>*</w:t>
            </w:r>
            <w:r>
              <w:t>- s) [kN]</w:t>
            </w:r>
          </w:p>
        </w:tc>
        <w:tc>
          <w:tcPr>
            <w:tcW w:w="1806" w:type="dxa"/>
            <w:hideMark/>
          </w:tcPr>
          <w:p w:rsidR="00C90ABA" w:rsidRDefault="00C90ABA">
            <w:pPr>
              <w:jc w:val="center"/>
            </w:pPr>
            <w:r>
              <w:sym w:font="Symbol" w:char="F0B3"/>
            </w:r>
            <w:r>
              <w:t xml:space="preserve"> 2,5</w:t>
            </w:r>
          </w:p>
        </w:tc>
        <w:tc>
          <w:tcPr>
            <w:tcW w:w="1806" w:type="dxa"/>
            <w:hideMark/>
          </w:tcPr>
          <w:p w:rsidR="00C90ABA" w:rsidRDefault="00C90ABA">
            <w:pPr>
              <w:jc w:val="center"/>
            </w:pPr>
            <w:r>
              <w:sym w:font="Symbol" w:char="F0B3"/>
            </w:r>
            <w:r>
              <w:t xml:space="preserve"> 2,5</w:t>
            </w:r>
          </w:p>
        </w:tc>
      </w:tr>
      <w:tr w:rsidR="00C90ABA" w:rsidTr="00C90ABA">
        <w:tc>
          <w:tcPr>
            <w:tcW w:w="3898" w:type="dxa"/>
            <w:hideMark/>
          </w:tcPr>
          <w:p w:rsidR="00C90ABA" w:rsidRDefault="00C90ABA">
            <w:pPr>
              <w:spacing w:before="120"/>
            </w:pPr>
            <w:r>
              <w:t>wielkość charakterystyczna porów O</w:t>
            </w:r>
            <w:r>
              <w:rPr>
                <w:vertAlign w:val="subscript"/>
              </w:rPr>
              <w:t>90 gtx</w:t>
            </w:r>
          </w:p>
        </w:tc>
        <w:tc>
          <w:tcPr>
            <w:tcW w:w="1806" w:type="dxa"/>
            <w:hideMark/>
          </w:tcPr>
          <w:p w:rsidR="00C90ABA" w:rsidRDefault="00C90ABA">
            <w:pPr>
              <w:jc w:val="center"/>
            </w:pPr>
            <w:r>
              <w:t xml:space="preserve">&lt; 2,5 </w:t>
            </w:r>
            <w:r>
              <w:sym w:font="Symbol" w:char="F0D7"/>
            </w:r>
            <w:r>
              <w:t xml:space="preserve"> </w:t>
            </w:r>
            <w:r>
              <w:rPr>
                <w:i/>
              </w:rPr>
              <w:t>d</w:t>
            </w:r>
            <w:r>
              <w:rPr>
                <w:vertAlign w:val="subscript"/>
              </w:rPr>
              <w:t>50</w:t>
            </w:r>
          </w:p>
          <w:p w:rsidR="00C90ABA" w:rsidRDefault="00C90ABA">
            <w:pPr>
              <w:jc w:val="center"/>
            </w:pPr>
            <w:r>
              <w:rPr>
                <w:i/>
              </w:rPr>
              <w:t>d</w:t>
            </w:r>
            <w:r>
              <w:rPr>
                <w:vertAlign w:val="subscript"/>
              </w:rPr>
              <w:t xml:space="preserve">50 </w:t>
            </w:r>
            <w:r>
              <w:t>&lt; O</w:t>
            </w:r>
            <w:r>
              <w:rPr>
                <w:vertAlign w:val="subscript"/>
              </w:rPr>
              <w:t>90 gtx</w:t>
            </w:r>
            <w:r>
              <w:t xml:space="preserve"> &lt; </w:t>
            </w:r>
            <w:r>
              <w:rPr>
                <w:i/>
              </w:rPr>
              <w:t>d</w:t>
            </w:r>
            <w:r>
              <w:rPr>
                <w:vertAlign w:val="subscript"/>
              </w:rPr>
              <w:t>90</w:t>
            </w:r>
          </w:p>
        </w:tc>
        <w:tc>
          <w:tcPr>
            <w:tcW w:w="1806" w:type="dxa"/>
            <w:hideMark/>
          </w:tcPr>
          <w:p w:rsidR="00C90ABA" w:rsidRDefault="00C90ABA">
            <w:pPr>
              <w:jc w:val="center"/>
            </w:pPr>
            <w:r>
              <w:t xml:space="preserve">&lt; 2,5 </w:t>
            </w:r>
            <w:r>
              <w:sym w:font="Symbol" w:char="F0D7"/>
            </w:r>
            <w:r>
              <w:t xml:space="preserve"> </w:t>
            </w:r>
            <w:r>
              <w:rPr>
                <w:i/>
              </w:rPr>
              <w:t>d</w:t>
            </w:r>
            <w:r>
              <w:rPr>
                <w:vertAlign w:val="subscript"/>
              </w:rPr>
              <w:t>50</w:t>
            </w:r>
          </w:p>
          <w:p w:rsidR="00C90ABA" w:rsidRDefault="00C90ABA">
            <w:pPr>
              <w:jc w:val="center"/>
            </w:pPr>
            <w:r>
              <w:rPr>
                <w:i/>
              </w:rPr>
              <w:t>d</w:t>
            </w:r>
            <w:r>
              <w:rPr>
                <w:vertAlign w:val="subscript"/>
              </w:rPr>
              <w:t xml:space="preserve">50 </w:t>
            </w:r>
            <w:r>
              <w:t>&lt; O</w:t>
            </w:r>
            <w:r>
              <w:rPr>
                <w:vertAlign w:val="subscript"/>
              </w:rPr>
              <w:t>90 gtx</w:t>
            </w:r>
            <w:r>
              <w:t xml:space="preserve"> &lt; </w:t>
            </w:r>
            <w:r>
              <w:rPr>
                <w:i/>
              </w:rPr>
              <w:t>d</w:t>
            </w:r>
            <w:r>
              <w:rPr>
                <w:vertAlign w:val="subscript"/>
              </w:rPr>
              <w:t>90</w:t>
            </w:r>
          </w:p>
        </w:tc>
      </w:tr>
      <w:tr w:rsidR="00C90ABA" w:rsidTr="00C90ABA">
        <w:tc>
          <w:tcPr>
            <w:tcW w:w="3898" w:type="dxa"/>
            <w:hideMark/>
          </w:tcPr>
          <w:p w:rsidR="00C90ABA" w:rsidRDefault="00C90ABA">
            <w:r>
              <w:t xml:space="preserve">współczynnik </w:t>
            </w:r>
            <w:r>
              <w:rPr>
                <w:i/>
              </w:rPr>
              <w:t>k</w:t>
            </w:r>
            <w:r>
              <w:rPr>
                <w:vertAlign w:val="subscript"/>
              </w:rPr>
              <w:t>v</w:t>
            </w:r>
            <w:r>
              <w:t xml:space="preserve">  przy nacisku 2 kN/m</w:t>
            </w:r>
            <w:r>
              <w:rPr>
                <w:vertAlign w:val="superscript"/>
              </w:rPr>
              <w:t>2</w:t>
            </w:r>
            <w:r>
              <w:t>, m/s</w:t>
            </w:r>
          </w:p>
        </w:tc>
        <w:tc>
          <w:tcPr>
            <w:tcW w:w="1806" w:type="dxa"/>
            <w:hideMark/>
          </w:tcPr>
          <w:p w:rsidR="00C90ABA" w:rsidRDefault="00C90ABA">
            <w:pPr>
              <w:jc w:val="center"/>
            </w:pPr>
            <w:r>
              <w:t>&gt; 10</w:t>
            </w:r>
            <w:r>
              <w:rPr>
                <w:vertAlign w:val="superscript"/>
              </w:rPr>
              <w:t>-3</w:t>
            </w:r>
          </w:p>
        </w:tc>
        <w:tc>
          <w:tcPr>
            <w:tcW w:w="1806" w:type="dxa"/>
            <w:hideMark/>
          </w:tcPr>
          <w:p w:rsidR="00C90ABA" w:rsidRDefault="00C90ABA">
            <w:pPr>
              <w:jc w:val="center"/>
            </w:pPr>
            <w:r>
              <w:t>&gt; 10</w:t>
            </w:r>
            <w:r>
              <w:rPr>
                <w:vertAlign w:val="superscript"/>
              </w:rPr>
              <w:t>-3</w:t>
            </w:r>
          </w:p>
        </w:tc>
      </w:tr>
      <w:tr w:rsidR="00C90ABA" w:rsidTr="00C90ABA">
        <w:tc>
          <w:tcPr>
            <w:tcW w:w="3898" w:type="dxa"/>
            <w:hideMark/>
          </w:tcPr>
          <w:p w:rsidR="00C90ABA" w:rsidRDefault="00C90ABA">
            <w:r>
              <w:t xml:space="preserve">współczynnik </w:t>
            </w:r>
            <w:r>
              <w:rPr>
                <w:i/>
              </w:rPr>
              <w:t>k</w:t>
            </w:r>
            <w:r>
              <w:rPr>
                <w:vertAlign w:val="subscript"/>
              </w:rPr>
              <w:t>v</w:t>
            </w:r>
            <w:r>
              <w:t xml:space="preserve">  przy nacisku 20kN/m</w:t>
            </w:r>
            <w:r>
              <w:rPr>
                <w:vertAlign w:val="superscript"/>
              </w:rPr>
              <w:t>2</w:t>
            </w:r>
            <w:r>
              <w:t>, m/s</w:t>
            </w:r>
          </w:p>
        </w:tc>
        <w:tc>
          <w:tcPr>
            <w:tcW w:w="1806" w:type="dxa"/>
            <w:hideMark/>
          </w:tcPr>
          <w:p w:rsidR="00C90ABA" w:rsidRDefault="00C90ABA">
            <w:pPr>
              <w:jc w:val="center"/>
            </w:pPr>
            <w:r>
              <w:t>&gt; 10</w:t>
            </w:r>
            <w:r>
              <w:rPr>
                <w:vertAlign w:val="superscript"/>
              </w:rPr>
              <w:t>-4</w:t>
            </w:r>
          </w:p>
        </w:tc>
        <w:tc>
          <w:tcPr>
            <w:tcW w:w="1806" w:type="dxa"/>
            <w:hideMark/>
          </w:tcPr>
          <w:p w:rsidR="00C90ABA" w:rsidRDefault="00C90ABA">
            <w:pPr>
              <w:jc w:val="center"/>
            </w:pPr>
            <w:r>
              <w:t>&gt; 10</w:t>
            </w:r>
            <w:r>
              <w:rPr>
                <w:vertAlign w:val="superscript"/>
              </w:rPr>
              <w:t>-4</w:t>
            </w:r>
          </w:p>
        </w:tc>
      </w:tr>
    </w:tbl>
    <w:p w:rsidR="00C90ABA" w:rsidRDefault="00C90ABA" w:rsidP="00C90ABA"/>
    <w:p w:rsidR="00C90ABA" w:rsidRDefault="00C90ABA" w:rsidP="00C90ABA"/>
    <w:p w:rsidR="00C90ABA" w:rsidRDefault="00C90ABA" w:rsidP="00C90ABA">
      <w:pPr>
        <w:jc w:val="center"/>
      </w:pPr>
      <w:r>
        <w:rPr>
          <w:noProof/>
        </w:rPr>
        <w:drawing>
          <wp:inline distT="0" distB="0" distL="0" distR="0">
            <wp:extent cx="2857500" cy="130492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7500" cy="1304925"/>
                    </a:xfrm>
                    <a:prstGeom prst="rect">
                      <a:avLst/>
                    </a:prstGeom>
                    <a:noFill/>
                    <a:ln>
                      <a:noFill/>
                    </a:ln>
                  </pic:spPr>
                </pic:pic>
              </a:graphicData>
            </a:graphic>
          </wp:inline>
        </w:drawing>
      </w:r>
    </w:p>
    <w:p w:rsidR="00C90ABA" w:rsidRDefault="00C90ABA" w:rsidP="00C90ABA">
      <w:r>
        <w:t>Rys. 2.1. Schemat nasypu na gruncie słabonośnym z zastosowaniem geosyntetyku</w:t>
      </w:r>
    </w:p>
    <w:p w:rsidR="00C90ABA" w:rsidRDefault="00C90ABA" w:rsidP="00C90ABA">
      <w:pPr>
        <w:spacing w:after="120"/>
        <w:ind w:firstLine="709"/>
      </w:pPr>
      <w:r>
        <w:t>1 - nasyp drogowy, 2- warstwa geosyntetyku, 3 - grunt słabonośny</w:t>
      </w:r>
    </w:p>
    <w:p w:rsidR="00C90ABA" w:rsidRDefault="00C90ABA" w:rsidP="00C90ABA">
      <w:pPr>
        <w:pStyle w:val="Nagwek2"/>
      </w:pPr>
      <w:r>
        <w:t>2.2. Zbrojenie z geosyntetyków w podstawie nasypu</w:t>
      </w:r>
    </w:p>
    <w:p w:rsidR="00C90ABA" w:rsidRDefault="00C90ABA" w:rsidP="00C90ABA">
      <w:r>
        <w:tab/>
        <w:t>Nasyp doznaje osiadań, zwykle największych w pobliżu osi. Powodują one zachowanie się korpusu nasypu jak belki zginanej w przekroju poprzecznym drogi. Zbrojenie geosyntetyków w podstawie nasypu - jak w belce żelbetowej - przejmuje naprężenia rozciągające, zapobiegając spękaniom i ograniczając odkształcenia poprzeczne nasypu. Zbrojenie to poprawia stateczność korpusu nasypu przeciwdziałając wypieraniu podłoża na boki, ale nie zmniejsza istotnie osiadań związanych z jego ściśliwością. Powoduje jednak, że osiadania są bardziej równomierne.</w:t>
      </w:r>
    </w:p>
    <w:p w:rsidR="00C90ABA" w:rsidRDefault="00C90ABA" w:rsidP="00C90ABA">
      <w:r>
        <w:tab/>
        <w:t>Zbrojenie jest najbardziej efektywne w dolnej części nasypu. Ma ono korzystniejsze warunki pracy, gdy nie kontaktuje się bezpośrednio ze słabym podłożem, lecz jest położone na warstwie gruntu nasypowego, która powinna być oddzielona od podłoża warstwą włókniny nie ulegającej kolmatacji. Jednak na torfach korzystne jest pozostawienie powierzchniowej warstwy trawiastej. Rozwinięciem tego rozwiązania jest materac z kruszywa otoczonego materiałem geosyntetycznym. Warstwa taka spełnia też rolę drenażu, potrzebnego zwłaszcza, gdy korpus nasypu jest zbudowany z gruntu spoistego. Przykłady zastosowań zbrojenia w nasypach przedstawia rysunek 2.2 a i b.</w:t>
      </w:r>
    </w:p>
    <w:p w:rsidR="00C90ABA" w:rsidRDefault="00C90ABA" w:rsidP="00C90ABA"/>
    <w:p w:rsidR="00C90ABA" w:rsidRDefault="00C90ABA" w:rsidP="00C90ABA">
      <w:pPr>
        <w:jc w:val="center"/>
      </w:pPr>
      <w:r>
        <w:rPr>
          <w:noProof/>
        </w:rPr>
        <w:drawing>
          <wp:inline distT="0" distB="0" distL="0" distR="0">
            <wp:extent cx="4362450" cy="7524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62450" cy="752475"/>
                    </a:xfrm>
                    <a:prstGeom prst="rect">
                      <a:avLst/>
                    </a:prstGeom>
                    <a:noFill/>
                    <a:ln>
                      <a:noFill/>
                    </a:ln>
                  </pic:spPr>
                </pic:pic>
              </a:graphicData>
            </a:graphic>
          </wp:inline>
        </w:drawing>
      </w:r>
    </w:p>
    <w:p w:rsidR="00C90ABA" w:rsidRDefault="00C90ABA" w:rsidP="00C90ABA">
      <w:pPr>
        <w:jc w:val="center"/>
      </w:pPr>
      <w:r>
        <w:t>a - zbrojenie podstawy nasypu</w:t>
      </w:r>
      <w:r>
        <w:tab/>
      </w:r>
      <w:r>
        <w:tab/>
        <w:t>b - materac w podstawie nasypu</w:t>
      </w:r>
    </w:p>
    <w:p w:rsidR="00C90ABA" w:rsidRDefault="00C90ABA" w:rsidP="00C90ABA">
      <w:pPr>
        <w:spacing w:before="60"/>
      </w:pPr>
      <w:r>
        <w:t>Rys. 2.2. Przykłady zbrojenia nasypów geosyntetykami</w:t>
      </w:r>
    </w:p>
    <w:p w:rsidR="00C90ABA" w:rsidRDefault="00C90ABA" w:rsidP="00C90ABA"/>
    <w:p w:rsidR="00C90ABA" w:rsidRDefault="00C90ABA" w:rsidP="00C90ABA">
      <w:r>
        <w:tab/>
        <w:t>Potrzebny przekrój zbrojenia oblicza się zwykle przyjmując za podstawę początkową wytrzymałość na ścinanie słabego podłoża oraz obliczeniową krótkotrwałą wytrzymałość zbrojenia geotekstylnego (dla potrzebnego czasu konsolidacji, np. 1 rok). Jeżeli jednak przewidywana wytrzymałość podłoża po jego skonsolidowaniu pod nasypem nie zapewnia stateczności bez zbrojenia, to przekrój zbrojenia należy wymiarować uwzględniając redukcję wytrzymałości odpowiednio do projektowanego okresu użytkowania budowli ziemnej (zwykle 60 do 120 lat).</w:t>
      </w:r>
    </w:p>
    <w:p w:rsidR="00C90ABA" w:rsidRDefault="00C90ABA" w:rsidP="00C90ABA"/>
    <w:p w:rsidR="00C90ABA" w:rsidRDefault="00C90ABA" w:rsidP="00C90ABA">
      <w:pPr>
        <w:jc w:val="right"/>
        <w:rPr>
          <w:b/>
        </w:rPr>
      </w:pPr>
      <w:r>
        <w:rPr>
          <w:b/>
        </w:rPr>
        <w:t>ZAŁĄCZNIK 3</w:t>
      </w:r>
    </w:p>
    <w:p w:rsidR="00C90ABA" w:rsidRDefault="00C90ABA" w:rsidP="00C90ABA">
      <w:pPr>
        <w:jc w:val="right"/>
        <w:rPr>
          <w:b/>
        </w:rPr>
      </w:pPr>
    </w:p>
    <w:p w:rsidR="00C90ABA" w:rsidRDefault="00C90ABA" w:rsidP="00C90ABA">
      <w:pPr>
        <w:jc w:val="center"/>
        <w:rPr>
          <w:b/>
        </w:rPr>
      </w:pPr>
      <w:r>
        <w:rPr>
          <w:b/>
        </w:rPr>
        <w:t>DROGI  TYMCZASOWE  BUDOWANE  Z  ZASTOSOWANIEM  GEOWŁÓKNIN NA  GRUNTACH  SŁABONOŚNYCH</w:t>
      </w:r>
    </w:p>
    <w:p w:rsidR="00C90ABA" w:rsidRDefault="00C90ABA" w:rsidP="00C90ABA">
      <w:pPr>
        <w:spacing w:before="120"/>
        <w:jc w:val="center"/>
      </w:pPr>
      <w:r>
        <w:t xml:space="preserve">(wg: „Projektowanie dróg z zastosowaniem włóknin”, </w:t>
      </w:r>
    </w:p>
    <w:p w:rsidR="00C90ABA" w:rsidRDefault="00C90ABA" w:rsidP="00C90ABA">
      <w:pPr>
        <w:jc w:val="center"/>
      </w:pPr>
      <w:r>
        <w:t>Problemy Projektowania Dróg i Mostów nr 2/1988)</w:t>
      </w:r>
    </w:p>
    <w:p w:rsidR="00C90ABA" w:rsidRDefault="00C90ABA" w:rsidP="00C90ABA">
      <w:pPr>
        <w:jc w:val="center"/>
      </w:pPr>
    </w:p>
    <w:p w:rsidR="00C90ABA" w:rsidRDefault="00C90ABA" w:rsidP="00C90ABA">
      <w:r>
        <w:tab/>
        <w:t>Przy budowie dróg tymczasowych, których celem jest zapewnienie przejazdu samochodów bez ograniczeń głębokości kolein, nie ma potrzeby przeprowadzania obliczeń stateczności nasypu drogowego. Orientacyjną wysokość nasypu nad warstwą geowłókniny można określić z tablicy 3.1, w zależności od natężenia ruchu drogowego i rodzaju gruntu słabonośnego.</w:t>
      </w:r>
    </w:p>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 w:rsidR="00C90ABA" w:rsidRDefault="00C90ABA" w:rsidP="00C90ABA">
      <w:pPr>
        <w:spacing w:after="120"/>
        <w:ind w:left="1134" w:hanging="1134"/>
      </w:pPr>
      <w:r>
        <w:t>Tablica 3.1. Orientacyjna wysokość nasypu dróg tymczasowych w zależności od natężenia ruchu drogowego i rodzaj gruntu słabonośnego</w:t>
      </w:r>
    </w:p>
    <w:tbl>
      <w:tblPr>
        <w:tblW w:w="0" w:type="auto"/>
        <w:tblLayout w:type="fixed"/>
        <w:tblCellMar>
          <w:left w:w="70" w:type="dxa"/>
          <w:right w:w="70" w:type="dxa"/>
        </w:tblCellMar>
        <w:tblLook w:val="04A0" w:firstRow="1" w:lastRow="0" w:firstColumn="1" w:lastColumn="0" w:noHBand="0" w:noVBand="1"/>
      </w:tblPr>
      <w:tblGrid>
        <w:gridCol w:w="2197"/>
        <w:gridCol w:w="1328"/>
        <w:gridCol w:w="1328"/>
        <w:gridCol w:w="1328"/>
        <w:gridCol w:w="1329"/>
      </w:tblGrid>
      <w:tr w:rsidR="00C90ABA" w:rsidTr="00C90ABA">
        <w:tc>
          <w:tcPr>
            <w:tcW w:w="2197" w:type="dxa"/>
            <w:tcBorders>
              <w:top w:val="single" w:sz="6" w:space="0" w:color="auto"/>
              <w:left w:val="single" w:sz="6" w:space="0" w:color="auto"/>
              <w:bottom w:val="nil"/>
              <w:right w:val="nil"/>
            </w:tcBorders>
            <w:hideMark/>
          </w:tcPr>
          <w:p w:rsidR="00C90ABA" w:rsidRDefault="00C90ABA">
            <w:pPr>
              <w:jc w:val="center"/>
            </w:pPr>
            <w:r>
              <w:t>Średniomiesięczne</w:t>
            </w:r>
          </w:p>
        </w:tc>
        <w:tc>
          <w:tcPr>
            <w:tcW w:w="5313" w:type="dxa"/>
            <w:gridSpan w:val="4"/>
            <w:tcBorders>
              <w:top w:val="single" w:sz="6" w:space="0" w:color="auto"/>
              <w:left w:val="single" w:sz="6" w:space="0" w:color="auto"/>
              <w:bottom w:val="single" w:sz="6" w:space="0" w:color="auto"/>
              <w:right w:val="single" w:sz="6" w:space="0" w:color="auto"/>
            </w:tcBorders>
            <w:hideMark/>
          </w:tcPr>
          <w:p w:rsidR="00C90ABA" w:rsidRDefault="00C90ABA">
            <w:pPr>
              <w:jc w:val="center"/>
            </w:pPr>
            <w:r>
              <w:t>Wysokość nasypu nad geowłókniną, cm</w:t>
            </w:r>
          </w:p>
        </w:tc>
      </w:tr>
      <w:tr w:rsidR="00C90ABA" w:rsidTr="00C90ABA">
        <w:tc>
          <w:tcPr>
            <w:tcW w:w="2197" w:type="dxa"/>
            <w:tcBorders>
              <w:top w:val="nil"/>
              <w:left w:val="single" w:sz="6" w:space="0" w:color="auto"/>
              <w:bottom w:val="double" w:sz="6" w:space="0" w:color="auto"/>
              <w:right w:val="nil"/>
            </w:tcBorders>
            <w:hideMark/>
          </w:tcPr>
          <w:p w:rsidR="00C90ABA" w:rsidRDefault="00C90ABA">
            <w:pPr>
              <w:jc w:val="center"/>
            </w:pPr>
            <w:r>
              <w:t>natężenie ruchu drogowego w jednym kierunku</w:t>
            </w:r>
          </w:p>
          <w:p w:rsidR="00C90ABA" w:rsidRDefault="00C90ABA">
            <w:pPr>
              <w:jc w:val="center"/>
            </w:pPr>
            <w:r>
              <w:t>samoch./dobę</w:t>
            </w:r>
          </w:p>
        </w:tc>
        <w:tc>
          <w:tcPr>
            <w:tcW w:w="1328" w:type="dxa"/>
            <w:tcBorders>
              <w:top w:val="single" w:sz="6" w:space="0" w:color="auto"/>
              <w:left w:val="single" w:sz="6" w:space="0" w:color="auto"/>
              <w:bottom w:val="double" w:sz="6" w:space="0" w:color="auto"/>
              <w:right w:val="single" w:sz="6" w:space="0" w:color="auto"/>
            </w:tcBorders>
          </w:tcPr>
          <w:p w:rsidR="00C90ABA" w:rsidRDefault="00C90ABA">
            <w:pPr>
              <w:jc w:val="center"/>
            </w:pPr>
          </w:p>
          <w:p w:rsidR="00C90ABA" w:rsidRDefault="00C90ABA">
            <w:pPr>
              <w:spacing w:before="120"/>
              <w:jc w:val="center"/>
            </w:pPr>
            <w:r>
              <w:t>torf osuszony</w:t>
            </w:r>
          </w:p>
        </w:tc>
        <w:tc>
          <w:tcPr>
            <w:tcW w:w="1328" w:type="dxa"/>
            <w:tcBorders>
              <w:top w:val="single" w:sz="6" w:space="0" w:color="auto"/>
              <w:left w:val="single" w:sz="6" w:space="0" w:color="auto"/>
              <w:bottom w:val="double" w:sz="6" w:space="0" w:color="auto"/>
              <w:right w:val="single" w:sz="6" w:space="0" w:color="auto"/>
            </w:tcBorders>
            <w:hideMark/>
          </w:tcPr>
          <w:p w:rsidR="00C90ABA" w:rsidRDefault="00C90ABA">
            <w:pPr>
              <w:spacing w:before="240"/>
              <w:jc w:val="center"/>
            </w:pPr>
            <w:r>
              <w:t>torf mało wilgotny</w:t>
            </w:r>
          </w:p>
        </w:tc>
        <w:tc>
          <w:tcPr>
            <w:tcW w:w="1328" w:type="dxa"/>
            <w:tcBorders>
              <w:top w:val="single" w:sz="6" w:space="0" w:color="auto"/>
              <w:left w:val="single" w:sz="6" w:space="0" w:color="auto"/>
              <w:bottom w:val="double" w:sz="6" w:space="0" w:color="auto"/>
              <w:right w:val="single" w:sz="6" w:space="0" w:color="auto"/>
            </w:tcBorders>
            <w:hideMark/>
          </w:tcPr>
          <w:p w:rsidR="00C90ABA" w:rsidRDefault="00C90ABA">
            <w:pPr>
              <w:spacing w:before="120"/>
              <w:jc w:val="center"/>
            </w:pPr>
            <w:r>
              <w:t>grunt gliniasty o wilgotności W &lt; 0,9 W</w:t>
            </w:r>
            <w:r>
              <w:rPr>
                <w:vertAlign w:val="subscript"/>
              </w:rPr>
              <w:t>T</w:t>
            </w:r>
          </w:p>
        </w:tc>
        <w:tc>
          <w:tcPr>
            <w:tcW w:w="1329" w:type="dxa"/>
            <w:tcBorders>
              <w:top w:val="single" w:sz="6" w:space="0" w:color="auto"/>
              <w:left w:val="single" w:sz="6" w:space="0" w:color="auto"/>
              <w:bottom w:val="double" w:sz="6" w:space="0" w:color="auto"/>
              <w:right w:val="single" w:sz="6" w:space="0" w:color="auto"/>
            </w:tcBorders>
            <w:hideMark/>
          </w:tcPr>
          <w:p w:rsidR="00C90ABA" w:rsidRDefault="00C90ABA">
            <w:pPr>
              <w:jc w:val="center"/>
            </w:pPr>
            <w:r>
              <w:t>grunt gliniasty lub z torfem o wilgotności       W &gt; 0,9 W</w:t>
            </w:r>
            <w:r>
              <w:rPr>
                <w:vertAlign w:val="subscript"/>
              </w:rPr>
              <w:t>T</w:t>
            </w:r>
          </w:p>
        </w:tc>
      </w:tr>
      <w:tr w:rsidR="00C90ABA" w:rsidTr="00C90ABA">
        <w:tc>
          <w:tcPr>
            <w:tcW w:w="2197" w:type="dxa"/>
            <w:tcBorders>
              <w:top w:val="nil"/>
              <w:left w:val="single" w:sz="6" w:space="0" w:color="auto"/>
              <w:bottom w:val="single" w:sz="6" w:space="0" w:color="auto"/>
              <w:right w:val="nil"/>
            </w:tcBorders>
            <w:hideMark/>
          </w:tcPr>
          <w:p w:rsidR="00C90ABA" w:rsidRDefault="00C90ABA">
            <w:r>
              <w:t>Pojedyncze samochody</w:t>
            </w:r>
          </w:p>
          <w:p w:rsidR="00C90ABA" w:rsidRDefault="00C90ABA">
            <w:r>
              <w:t xml:space="preserve">Do 50 samoch./d     </w:t>
            </w:r>
            <w:r>
              <w:rPr>
                <w:vertAlign w:val="superscript"/>
              </w:rPr>
              <w:t>x)</w:t>
            </w:r>
          </w:p>
          <w:p w:rsidR="00C90ABA" w:rsidRDefault="00C90ABA">
            <w:pPr>
              <w:rPr>
                <w:vertAlign w:val="superscript"/>
              </w:rPr>
            </w:pPr>
            <w:r>
              <w:t xml:space="preserve">Powyżej 50 samoch./d   </w:t>
            </w:r>
            <w:r>
              <w:rPr>
                <w:vertAlign w:val="superscript"/>
              </w:rPr>
              <w:t>x)</w:t>
            </w:r>
          </w:p>
          <w:p w:rsidR="00C90ABA" w:rsidRDefault="00C90ABA">
            <w:r>
              <w:t>B. ciężkie obciążenia</w:t>
            </w:r>
          </w:p>
          <w:p w:rsidR="00C90ABA" w:rsidRDefault="00C90ABA">
            <w:r>
              <w:t>(przejazd jednorazowy)</w:t>
            </w:r>
          </w:p>
        </w:tc>
        <w:tc>
          <w:tcPr>
            <w:tcW w:w="1328" w:type="dxa"/>
            <w:tcBorders>
              <w:top w:val="nil"/>
              <w:left w:val="single" w:sz="6" w:space="0" w:color="auto"/>
              <w:bottom w:val="single" w:sz="6" w:space="0" w:color="auto"/>
              <w:right w:val="single" w:sz="6" w:space="0" w:color="auto"/>
            </w:tcBorders>
            <w:hideMark/>
          </w:tcPr>
          <w:p w:rsidR="00C90ABA" w:rsidRDefault="00C90ABA">
            <w:pPr>
              <w:jc w:val="center"/>
            </w:pPr>
            <w:r>
              <w:t>40 - 60</w:t>
            </w:r>
          </w:p>
          <w:p w:rsidR="00C90ABA" w:rsidRDefault="00C90ABA">
            <w:pPr>
              <w:jc w:val="center"/>
            </w:pPr>
            <w:r>
              <w:t>50 - 80</w:t>
            </w:r>
          </w:p>
          <w:p w:rsidR="00C90ABA" w:rsidRDefault="00C90ABA">
            <w:pPr>
              <w:jc w:val="center"/>
            </w:pPr>
            <w:r>
              <w:t>60 - 90</w:t>
            </w:r>
          </w:p>
          <w:p w:rsidR="00C90ABA" w:rsidRDefault="00C90ABA">
            <w:pPr>
              <w:spacing w:before="120"/>
              <w:jc w:val="center"/>
            </w:pPr>
            <w:r>
              <w:t>60 -80</w:t>
            </w:r>
          </w:p>
        </w:tc>
        <w:tc>
          <w:tcPr>
            <w:tcW w:w="1328" w:type="dxa"/>
            <w:tcBorders>
              <w:top w:val="nil"/>
              <w:left w:val="single" w:sz="6" w:space="0" w:color="auto"/>
              <w:bottom w:val="single" w:sz="6" w:space="0" w:color="auto"/>
              <w:right w:val="single" w:sz="6" w:space="0" w:color="auto"/>
            </w:tcBorders>
            <w:hideMark/>
          </w:tcPr>
          <w:p w:rsidR="00C90ABA" w:rsidRDefault="00C90ABA">
            <w:pPr>
              <w:jc w:val="center"/>
            </w:pPr>
            <w:r>
              <w:t>60 - 70</w:t>
            </w:r>
          </w:p>
          <w:p w:rsidR="00C90ABA" w:rsidRDefault="00C90ABA">
            <w:pPr>
              <w:jc w:val="center"/>
            </w:pPr>
            <w:r>
              <w:t>60 - 90</w:t>
            </w:r>
          </w:p>
          <w:p w:rsidR="00C90ABA" w:rsidRDefault="00C90ABA">
            <w:pPr>
              <w:jc w:val="center"/>
            </w:pPr>
            <w:r>
              <w:t>70 -100</w:t>
            </w:r>
          </w:p>
          <w:p w:rsidR="00C90ABA" w:rsidRDefault="00C90ABA">
            <w:pPr>
              <w:spacing w:before="120"/>
              <w:jc w:val="center"/>
            </w:pPr>
            <w:r>
              <w:t>60 - 90</w:t>
            </w:r>
          </w:p>
        </w:tc>
        <w:tc>
          <w:tcPr>
            <w:tcW w:w="1328" w:type="dxa"/>
            <w:tcBorders>
              <w:top w:val="nil"/>
              <w:left w:val="single" w:sz="6" w:space="0" w:color="auto"/>
              <w:bottom w:val="single" w:sz="6" w:space="0" w:color="auto"/>
              <w:right w:val="single" w:sz="6" w:space="0" w:color="auto"/>
            </w:tcBorders>
            <w:hideMark/>
          </w:tcPr>
          <w:p w:rsidR="00C90ABA" w:rsidRDefault="00C90ABA">
            <w:pPr>
              <w:jc w:val="center"/>
            </w:pPr>
            <w:r>
              <w:t>25 - 40</w:t>
            </w:r>
          </w:p>
          <w:p w:rsidR="00C90ABA" w:rsidRDefault="00C90ABA">
            <w:pPr>
              <w:jc w:val="center"/>
            </w:pPr>
            <w:r>
              <w:t>40 - 60</w:t>
            </w:r>
          </w:p>
          <w:p w:rsidR="00C90ABA" w:rsidRDefault="00C90ABA">
            <w:pPr>
              <w:jc w:val="center"/>
            </w:pPr>
            <w:r>
              <w:t>50 - 80</w:t>
            </w:r>
          </w:p>
          <w:p w:rsidR="00C90ABA" w:rsidRDefault="00C90ABA">
            <w:pPr>
              <w:spacing w:before="120"/>
              <w:jc w:val="center"/>
            </w:pPr>
            <w:r>
              <w:t>40 - 60</w:t>
            </w:r>
          </w:p>
        </w:tc>
        <w:tc>
          <w:tcPr>
            <w:tcW w:w="1329" w:type="dxa"/>
            <w:tcBorders>
              <w:top w:val="nil"/>
              <w:left w:val="single" w:sz="6" w:space="0" w:color="auto"/>
              <w:bottom w:val="single" w:sz="6" w:space="0" w:color="auto"/>
              <w:right w:val="single" w:sz="6" w:space="0" w:color="auto"/>
            </w:tcBorders>
            <w:hideMark/>
          </w:tcPr>
          <w:p w:rsidR="00C90ABA" w:rsidRDefault="00C90ABA">
            <w:pPr>
              <w:jc w:val="center"/>
            </w:pPr>
            <w:r>
              <w:t>40 - 60</w:t>
            </w:r>
          </w:p>
          <w:p w:rsidR="00C90ABA" w:rsidRDefault="00C90ABA">
            <w:pPr>
              <w:jc w:val="center"/>
            </w:pPr>
            <w:r>
              <w:t>50 - 80</w:t>
            </w:r>
          </w:p>
          <w:p w:rsidR="00C90ABA" w:rsidRDefault="00C90ABA">
            <w:pPr>
              <w:jc w:val="center"/>
            </w:pPr>
            <w:r>
              <w:t>60 - 90</w:t>
            </w:r>
          </w:p>
          <w:p w:rsidR="00C90ABA" w:rsidRDefault="00C90ABA">
            <w:pPr>
              <w:spacing w:before="120"/>
              <w:jc w:val="center"/>
            </w:pPr>
            <w:r>
              <w:t>60 - 90</w:t>
            </w:r>
          </w:p>
        </w:tc>
      </w:tr>
    </w:tbl>
    <w:p w:rsidR="00C90ABA" w:rsidRDefault="00C90ABA" w:rsidP="00C90ABA">
      <w:pPr>
        <w:ind w:left="1134" w:hanging="1134"/>
      </w:pPr>
    </w:p>
    <w:p w:rsidR="00C90ABA" w:rsidRDefault="00C90ABA" w:rsidP="00C90ABA">
      <w:pPr>
        <w:ind w:left="1134" w:hanging="1134"/>
      </w:pPr>
      <w:r>
        <w:t>Uwagi:</w:t>
      </w:r>
    </w:p>
    <w:p w:rsidR="00C90ABA" w:rsidRDefault="00C90ABA" w:rsidP="00C90ABA">
      <w:pPr>
        <w:numPr>
          <w:ilvl w:val="0"/>
          <w:numId w:val="16"/>
        </w:numPr>
      </w:pPr>
      <w:r>
        <w:t xml:space="preserve">Znak </w:t>
      </w:r>
      <w:r>
        <w:rPr>
          <w:vertAlign w:val="superscript"/>
        </w:rPr>
        <w:t>x)</w:t>
      </w:r>
      <w:r>
        <w:t xml:space="preserve"> oznacza, że długotrwałość okresów eksploatacji z podanym natężeniem ruchu nie powinna przekraczać jednego roku.</w:t>
      </w:r>
    </w:p>
    <w:p w:rsidR="00C90ABA" w:rsidRDefault="00C90ABA" w:rsidP="00C90ABA">
      <w:pPr>
        <w:numPr>
          <w:ilvl w:val="0"/>
          <w:numId w:val="16"/>
        </w:numPr>
      </w:pPr>
      <w:r>
        <w:t>Mniejsze wartości wysokości nasypu przyjmuje się dla dróg wykonanych z mieszanek piaszczysto-żwirowych o składzie optymalnym, większe - z drobnych nie zapylonych piasków.</w:t>
      </w:r>
    </w:p>
    <w:p w:rsidR="00C90ABA" w:rsidRDefault="00C90ABA" w:rsidP="00C90ABA">
      <w:pPr>
        <w:numPr>
          <w:ilvl w:val="0"/>
          <w:numId w:val="16"/>
        </w:numPr>
      </w:pPr>
      <w:r>
        <w:t>Natężenie ruchu podano dla obciążenia obliczeniowego w postaci samochodu z ciśnieniem jednostkowym w oponie 0,55 MPa i obciążeniem na oś max. 90 kN.</w:t>
      </w:r>
    </w:p>
    <w:p w:rsidR="00C90ABA" w:rsidRDefault="00C90ABA" w:rsidP="00C90ABA">
      <w:pPr>
        <w:numPr>
          <w:ilvl w:val="0"/>
          <w:numId w:val="16"/>
        </w:numPr>
      </w:pPr>
      <w:r>
        <w:t>Tablica obowiązuje dla geowłóknin z umownym modułem odkształcenia 50 - 100 N/cm, otrzymanym przy rozciąganiu jednoosiowym.</w:t>
      </w:r>
    </w:p>
    <w:p w:rsidR="00C90ABA" w:rsidRDefault="00C90ABA" w:rsidP="00C90ABA">
      <w:pPr>
        <w:numPr>
          <w:ilvl w:val="0"/>
          <w:numId w:val="16"/>
        </w:numPr>
      </w:pPr>
      <w:r>
        <w:t>W</w:t>
      </w:r>
      <w:r>
        <w:rPr>
          <w:vertAlign w:val="subscript"/>
        </w:rPr>
        <w:t>T</w:t>
      </w:r>
      <w:r>
        <w:t xml:space="preserve"> - granica płynności gruntu.</w:t>
      </w:r>
    </w:p>
    <w:p w:rsidR="00C90ABA" w:rsidRDefault="00C90ABA" w:rsidP="00C90ABA">
      <w:pPr>
        <w:spacing w:before="120"/>
      </w:pPr>
      <w:r>
        <w:tab/>
        <w:t>Konstrukcję dróg tymczasowych z zastosowaniem geowłóknin na gruntach słabonośnych przedstawiono na rysunku 3.1 z tym, że stosuje się je w następujących przypadkach:</w:t>
      </w:r>
    </w:p>
    <w:p w:rsidR="00C90ABA" w:rsidRDefault="00C90ABA" w:rsidP="00C90ABA">
      <w:pPr>
        <w:numPr>
          <w:ilvl w:val="0"/>
          <w:numId w:val="17"/>
        </w:numPr>
      </w:pPr>
      <w:r>
        <w:t>na gruntach słabonośnych (błotach) głębokości do 4 m, w których zalegają torfy zwarte i średniej zwartości z wilgotnością do 1300% lub sapropele (szlamy gnilne) o wilgotności do 200%, względnie słabe grunty gliniaste lub grunty z przekładkami torfowymi - według rysunku 3.1a,</w:t>
      </w:r>
    </w:p>
    <w:p w:rsidR="00C90ABA" w:rsidRDefault="00C90ABA" w:rsidP="00C90ABA">
      <w:pPr>
        <w:numPr>
          <w:ilvl w:val="0"/>
          <w:numId w:val="17"/>
        </w:numPr>
      </w:pPr>
      <w:r>
        <w:t>w przypadku istnienia wód powierzchniowych lub przy złym stanie podłoża, wykonuje się warstwę z gruntu miejscowego grubości 20-30 cm - według konstrukcji podanej na prawej stronie rysunku 3.1a,</w:t>
      </w:r>
    </w:p>
    <w:p w:rsidR="00C90ABA" w:rsidRDefault="00C90ABA" w:rsidP="00C90ABA">
      <w:pPr>
        <w:numPr>
          <w:ilvl w:val="0"/>
          <w:numId w:val="17"/>
        </w:numPr>
      </w:pPr>
      <w:r>
        <w:t>na podłożach ze znacznie nawodnionym torfem o wilgotności ponad 1300%, a także na odcinkach głębokich błot o charakterystykach wymienionych w podpunkcie a), dla których wysokość nasypu h</w:t>
      </w:r>
      <w:r>
        <w:rPr>
          <w:vertAlign w:val="subscript"/>
        </w:rPr>
        <w:t>HC</w:t>
      </w:r>
      <w:r>
        <w:t xml:space="preserve"> jest mniejsza od sumy S</w:t>
      </w:r>
      <w:r>
        <w:rPr>
          <w:vertAlign w:val="subscript"/>
        </w:rPr>
        <w:t>T</w:t>
      </w:r>
      <w:r>
        <w:t xml:space="preserve"> (osiadanie nasypu) + h</w:t>
      </w:r>
      <w:r>
        <w:rPr>
          <w:vertAlign w:val="subscript"/>
        </w:rPr>
        <w:t>B</w:t>
      </w:r>
      <w:r>
        <w:t xml:space="preserve"> (głębokość wody powierzchniowej) + dodatkowe podwyższenie korony nasypu = 0,2 m - według rysunku 3.1b,</w:t>
      </w:r>
    </w:p>
    <w:p w:rsidR="00C90ABA" w:rsidRDefault="00C90ABA" w:rsidP="00C90ABA">
      <w:pPr>
        <w:ind w:left="284" w:hanging="284"/>
      </w:pPr>
      <w:r>
        <w:tab/>
        <w:t>Dolną część nasypu wykonuje się z miejscowego zagęszczonego gruntu torfowego, a na nim układa się włókninę,</w:t>
      </w:r>
    </w:p>
    <w:p w:rsidR="00C90ABA" w:rsidRDefault="00C90ABA" w:rsidP="00C90ABA">
      <w:pPr>
        <w:numPr>
          <w:ilvl w:val="0"/>
          <w:numId w:val="18"/>
        </w:numPr>
      </w:pPr>
      <w:r>
        <w:t>przy budowie nasypu w okresie zimowym, bez usunięcia górnej warstwy torfu stosuje się konstrukcję zgodną z rysunkiem 3.1c.</w:t>
      </w:r>
    </w:p>
    <w:p w:rsidR="00C90ABA" w:rsidRDefault="00C90ABA" w:rsidP="00C90ABA">
      <w:pPr>
        <w:jc w:val="center"/>
      </w:pPr>
      <w:r>
        <w:rPr>
          <w:noProof/>
        </w:rPr>
        <w:drawing>
          <wp:inline distT="0" distB="0" distL="0" distR="0">
            <wp:extent cx="3514725" cy="32956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14725" cy="3295650"/>
                    </a:xfrm>
                    <a:prstGeom prst="rect">
                      <a:avLst/>
                    </a:prstGeom>
                    <a:noFill/>
                    <a:ln>
                      <a:noFill/>
                    </a:ln>
                  </pic:spPr>
                </pic:pic>
              </a:graphicData>
            </a:graphic>
          </wp:inline>
        </w:drawing>
      </w:r>
    </w:p>
    <w:p w:rsidR="00C90ABA" w:rsidRDefault="00C90ABA" w:rsidP="00C90ABA">
      <w:pPr>
        <w:spacing w:after="120"/>
      </w:pPr>
      <w:r>
        <w:t>Rys. 3.1.  Konstrukcje dróg tymczasowych na gruntach słabonośnych</w:t>
      </w:r>
    </w:p>
    <w:p w:rsidR="00C90ABA" w:rsidRDefault="00C90ABA" w:rsidP="00C90ABA">
      <w:pPr>
        <w:spacing w:after="120"/>
        <w:ind w:left="851"/>
      </w:pPr>
      <w:r>
        <w:t>a - przy głębokości słabych gruntów do 4 m,  b - przy głębokości słabych gruntów powyżej 4 m,   c - przy budowie nasypu w okresie zimowym</w:t>
      </w:r>
    </w:p>
    <w:p w:rsidR="00C90ABA" w:rsidRDefault="00C90ABA" w:rsidP="00C90ABA">
      <w:pPr>
        <w:ind w:left="851"/>
      </w:pPr>
      <w:r>
        <w:t>1 - nasyp z piasku, 2 - geowłóknina, 3 - grunt słabonośny, 4 - grunt miejscowy,</w:t>
      </w:r>
      <w:r>
        <w:br/>
        <w:t>5 - torf, 6 - ławki gruntowe, 7 - przekopy w torfie, 8 - zmarznięty torf</w:t>
      </w:r>
    </w:p>
    <w:p w:rsidR="00C90ABA" w:rsidRDefault="00C90ABA" w:rsidP="00C90ABA"/>
    <w:p w:rsidR="001A4296" w:rsidRDefault="001A4296"/>
    <w:sectPr w:rsidR="001A4296" w:rsidSect="00C90ABA">
      <w:pgSz w:w="11906" w:h="16838"/>
      <w:pgMar w:top="1134" w:right="1418" w:bottom="113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70A" w:rsidRDefault="0012470A" w:rsidP="00C90ABA">
      <w:r>
        <w:separator/>
      </w:r>
    </w:p>
  </w:endnote>
  <w:endnote w:type="continuationSeparator" w:id="0">
    <w:p w:rsidR="0012470A" w:rsidRDefault="0012470A" w:rsidP="00C90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70A" w:rsidRDefault="0012470A" w:rsidP="00C90ABA">
      <w:r>
        <w:separator/>
      </w:r>
    </w:p>
  </w:footnote>
  <w:footnote w:type="continuationSeparator" w:id="0">
    <w:p w:rsidR="0012470A" w:rsidRDefault="0012470A" w:rsidP="00C90A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B0705E"/>
    <w:lvl w:ilvl="0">
      <w:numFmt w:val="bullet"/>
      <w:lvlText w:val="*"/>
      <w:lvlJc w:val="left"/>
      <w:pPr>
        <w:ind w:left="0" w:firstLine="0"/>
      </w:pPr>
    </w:lvl>
  </w:abstractNum>
  <w:abstractNum w:abstractNumId="1" w15:restartNumberingAfterBreak="0">
    <w:nsid w:val="075333A7"/>
    <w:multiLevelType w:val="singleLevel"/>
    <w:tmpl w:val="A82C2D00"/>
    <w:lvl w:ilvl="0">
      <w:start w:val="1"/>
      <w:numFmt w:val="decimal"/>
      <w:lvlText w:val="2.2.%1. "/>
      <w:legacy w:legacy="1" w:legacySpace="0" w:legacyIndent="283"/>
      <w:lvlJc w:val="left"/>
      <w:pPr>
        <w:ind w:left="283" w:hanging="283"/>
      </w:pPr>
      <w:rPr>
        <w:b/>
        <w:i w:val="0"/>
        <w:sz w:val="20"/>
      </w:rPr>
    </w:lvl>
  </w:abstractNum>
  <w:abstractNum w:abstractNumId="2" w15:restartNumberingAfterBreak="0">
    <w:nsid w:val="0C3E69FC"/>
    <w:multiLevelType w:val="singleLevel"/>
    <w:tmpl w:val="790C3AFA"/>
    <w:lvl w:ilvl="0">
      <w:start w:val="2"/>
      <w:numFmt w:val="decimal"/>
      <w:lvlText w:val="1.4.%1. "/>
      <w:legacy w:legacy="1" w:legacySpace="0" w:legacyIndent="283"/>
      <w:lvlJc w:val="left"/>
      <w:pPr>
        <w:ind w:left="283" w:hanging="283"/>
      </w:pPr>
      <w:rPr>
        <w:b/>
        <w:i w:val="0"/>
        <w:sz w:val="20"/>
      </w:rPr>
    </w:lvl>
  </w:abstractNum>
  <w:abstractNum w:abstractNumId="3" w15:restartNumberingAfterBreak="0">
    <w:nsid w:val="1A2B1C58"/>
    <w:multiLevelType w:val="singleLevel"/>
    <w:tmpl w:val="0A6E7F4E"/>
    <w:lvl w:ilvl="0">
      <w:start w:val="4"/>
      <w:numFmt w:val="lowerLetter"/>
      <w:lvlText w:val="%1)"/>
      <w:legacy w:legacy="1" w:legacySpace="0" w:legacyIndent="283"/>
      <w:lvlJc w:val="left"/>
      <w:pPr>
        <w:ind w:left="283" w:hanging="283"/>
      </w:pPr>
    </w:lvl>
  </w:abstractNum>
  <w:abstractNum w:abstractNumId="4" w15:restartNumberingAfterBreak="0">
    <w:nsid w:val="1CE81758"/>
    <w:multiLevelType w:val="singleLevel"/>
    <w:tmpl w:val="758031E6"/>
    <w:lvl w:ilvl="0">
      <w:start w:val="4"/>
      <w:numFmt w:val="decimal"/>
      <w:lvlText w:val="%1."/>
      <w:legacy w:legacy="1" w:legacySpace="0" w:legacyIndent="283"/>
      <w:lvlJc w:val="left"/>
      <w:pPr>
        <w:ind w:left="453" w:hanging="283"/>
      </w:pPr>
    </w:lvl>
  </w:abstractNum>
  <w:abstractNum w:abstractNumId="5" w15:restartNumberingAfterBreak="0">
    <w:nsid w:val="26635056"/>
    <w:multiLevelType w:val="singleLevel"/>
    <w:tmpl w:val="5A76F95C"/>
    <w:lvl w:ilvl="0">
      <w:start w:val="3"/>
      <w:numFmt w:val="decimal"/>
      <w:lvlText w:val="2.2.%1. "/>
      <w:legacy w:legacy="1" w:legacySpace="0" w:legacyIndent="283"/>
      <w:lvlJc w:val="left"/>
      <w:pPr>
        <w:ind w:left="283" w:hanging="283"/>
      </w:pPr>
      <w:rPr>
        <w:b/>
        <w:i w:val="0"/>
        <w:sz w:val="20"/>
      </w:rPr>
    </w:lvl>
  </w:abstractNum>
  <w:abstractNum w:abstractNumId="6" w15:restartNumberingAfterBreak="0">
    <w:nsid w:val="2FCF5FD2"/>
    <w:multiLevelType w:val="singleLevel"/>
    <w:tmpl w:val="9042DE62"/>
    <w:lvl w:ilvl="0">
      <w:start w:val="1"/>
      <w:numFmt w:val="decimal"/>
      <w:lvlText w:val="1.4.%1. "/>
      <w:legacy w:legacy="1" w:legacySpace="0" w:legacyIndent="283"/>
      <w:lvlJc w:val="left"/>
      <w:pPr>
        <w:ind w:left="283" w:hanging="283"/>
      </w:pPr>
      <w:rPr>
        <w:b/>
        <w:i w:val="0"/>
        <w:sz w:val="20"/>
      </w:rPr>
    </w:lvl>
  </w:abstractNum>
  <w:abstractNum w:abstractNumId="7" w15:restartNumberingAfterBreak="0">
    <w:nsid w:val="35BD52F7"/>
    <w:multiLevelType w:val="singleLevel"/>
    <w:tmpl w:val="AA10CD60"/>
    <w:lvl w:ilvl="0">
      <w:start w:val="1"/>
      <w:numFmt w:val="lowerLetter"/>
      <w:lvlText w:val="%1)"/>
      <w:legacy w:legacy="1" w:legacySpace="0" w:legacyIndent="283"/>
      <w:lvlJc w:val="left"/>
      <w:pPr>
        <w:ind w:left="283" w:hanging="283"/>
      </w:pPr>
    </w:lvl>
  </w:abstractNum>
  <w:abstractNum w:abstractNumId="8" w15:restartNumberingAfterBreak="0">
    <w:nsid w:val="4BE97C61"/>
    <w:multiLevelType w:val="singleLevel"/>
    <w:tmpl w:val="B568DAD8"/>
    <w:lvl w:ilvl="0">
      <w:start w:val="2"/>
      <w:numFmt w:val="lowerLetter"/>
      <w:lvlText w:val="%1)"/>
      <w:legacy w:legacy="1" w:legacySpace="0" w:legacyIndent="283"/>
      <w:lvlJc w:val="left"/>
      <w:pPr>
        <w:ind w:left="283" w:hanging="283"/>
      </w:pPr>
    </w:lvl>
  </w:abstractNum>
  <w:abstractNum w:abstractNumId="9" w15:restartNumberingAfterBreak="0">
    <w:nsid w:val="4C470C91"/>
    <w:multiLevelType w:val="singleLevel"/>
    <w:tmpl w:val="8B68BD48"/>
    <w:lvl w:ilvl="0">
      <w:start w:val="10"/>
      <w:numFmt w:val="decimal"/>
      <w:lvlText w:val="%1. "/>
      <w:legacy w:legacy="1" w:legacySpace="0" w:legacyIndent="283"/>
      <w:lvlJc w:val="left"/>
      <w:pPr>
        <w:ind w:left="283" w:hanging="283"/>
      </w:pPr>
      <w:rPr>
        <w:b/>
        <w:i w:val="0"/>
        <w:sz w:val="20"/>
      </w:rPr>
    </w:lvl>
  </w:abstractNum>
  <w:abstractNum w:abstractNumId="10" w15:restartNumberingAfterBreak="0">
    <w:nsid w:val="4D382B51"/>
    <w:multiLevelType w:val="singleLevel"/>
    <w:tmpl w:val="0F2C859E"/>
    <w:lvl w:ilvl="0">
      <w:start w:val="1"/>
      <w:numFmt w:val="decimal"/>
      <w:lvlText w:val="%1."/>
      <w:legacy w:legacy="1" w:legacySpace="0" w:legacyIndent="283"/>
      <w:lvlJc w:val="left"/>
      <w:pPr>
        <w:ind w:left="283" w:hanging="283"/>
      </w:pPr>
    </w:lvl>
  </w:abstractNum>
  <w:abstractNum w:abstractNumId="11" w15:restartNumberingAfterBreak="0">
    <w:nsid w:val="6F282B38"/>
    <w:multiLevelType w:val="singleLevel"/>
    <w:tmpl w:val="8D96201C"/>
    <w:lvl w:ilvl="0">
      <w:start w:val="2"/>
      <w:numFmt w:val="decimal"/>
      <w:lvlText w:val="2.2.%1. "/>
      <w:legacy w:legacy="1" w:legacySpace="0" w:legacyIndent="283"/>
      <w:lvlJc w:val="left"/>
      <w:pPr>
        <w:ind w:left="283" w:hanging="283"/>
      </w:pPr>
      <w:rPr>
        <w:b/>
        <w:i w:val="0"/>
        <w:sz w:val="20"/>
      </w:rPr>
    </w:lvl>
  </w:abstractNum>
  <w:abstractNum w:abstractNumId="12" w15:restartNumberingAfterBreak="0">
    <w:nsid w:val="7E0550FA"/>
    <w:multiLevelType w:val="singleLevel"/>
    <w:tmpl w:val="AA10CD60"/>
    <w:lvl w:ilvl="0">
      <w:start w:val="1"/>
      <w:numFmt w:val="lowerLetter"/>
      <w:lvlText w:val="%1)"/>
      <w:legacy w:legacy="1" w:legacySpace="0" w:legacyIndent="283"/>
      <w:lvlJc w:val="left"/>
      <w:pPr>
        <w:ind w:left="283" w:hanging="283"/>
      </w:pPr>
    </w:lvl>
  </w:abstractNum>
  <w:num w:numId="1">
    <w:abstractNumId w:val="9"/>
    <w:lvlOverride w:ilvl="0">
      <w:startOverride w:val="10"/>
    </w:lvlOverride>
  </w:num>
  <w:num w:numId="2">
    <w:abstractNumId w:val="9"/>
    <w:lvlOverride w:ilvl="0">
      <w:lvl w:ilvl="0">
        <w:start w:val="10"/>
        <w:numFmt w:val="decimal"/>
        <w:lvlText w:val="%1. "/>
        <w:legacy w:legacy="1" w:legacySpace="0" w:legacyIndent="283"/>
        <w:lvlJc w:val="left"/>
        <w:pPr>
          <w:ind w:left="283" w:hanging="283"/>
        </w:pPr>
        <w:rPr>
          <w:b/>
          <w:i w:val="0"/>
          <w:sz w:val="20"/>
        </w:rPr>
      </w:lvl>
    </w:lvlOverride>
  </w:num>
  <w:num w:numId="3">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4">
    <w:abstractNumId w:val="6"/>
    <w:lvlOverride w:ilvl="0">
      <w:startOverride w:val="1"/>
    </w:lvlOverride>
  </w:num>
  <w:num w:numId="5">
    <w:abstractNumId w:val="2"/>
    <w:lvlOverride w:ilvl="0">
      <w:startOverride w:val="2"/>
    </w:lvlOverride>
  </w:num>
  <w:num w:numId="6">
    <w:abstractNumId w:val="2"/>
    <w:lvlOverride w:ilvl="0">
      <w:lvl w:ilvl="0">
        <w:start w:val="2"/>
        <w:numFmt w:val="decimal"/>
        <w:lvlText w:val="1.4.%1. "/>
        <w:legacy w:legacy="1" w:legacySpace="0" w:legacyIndent="283"/>
        <w:lvlJc w:val="left"/>
        <w:pPr>
          <w:ind w:left="283" w:hanging="283"/>
        </w:pPr>
        <w:rPr>
          <w:b/>
          <w:i w:val="0"/>
          <w:sz w:val="20"/>
        </w:rPr>
      </w:lvl>
    </w:lvlOverride>
  </w:num>
  <w:num w:numId="7">
    <w:abstractNumId w:val="2"/>
    <w:lvlOverride w:ilvl="0">
      <w:lvl w:ilvl="0">
        <w:start w:val="2"/>
        <w:numFmt w:val="decimal"/>
        <w:lvlText w:val="1.4.%1. "/>
        <w:legacy w:legacy="1" w:legacySpace="0" w:legacyIndent="283"/>
        <w:lvlJc w:val="left"/>
        <w:pPr>
          <w:ind w:left="283" w:hanging="283"/>
        </w:pPr>
        <w:rPr>
          <w:b/>
          <w:i w:val="0"/>
          <w:sz w:val="20"/>
        </w:rPr>
      </w:lvl>
    </w:lvlOverride>
  </w:num>
  <w:num w:numId="8">
    <w:abstractNumId w:val="2"/>
    <w:lvlOverride w:ilvl="0">
      <w:lvl w:ilvl="0">
        <w:start w:val="2"/>
        <w:numFmt w:val="decimal"/>
        <w:lvlText w:val="1.4.%1. "/>
        <w:legacy w:legacy="1" w:legacySpace="0" w:legacyIndent="283"/>
        <w:lvlJc w:val="left"/>
        <w:pPr>
          <w:ind w:left="283" w:hanging="283"/>
        </w:pPr>
        <w:rPr>
          <w:b/>
          <w:i w:val="0"/>
          <w:sz w:val="20"/>
        </w:rPr>
      </w:lvl>
    </w:lvlOverride>
  </w:num>
  <w:num w:numId="9">
    <w:abstractNumId w:val="1"/>
    <w:lvlOverride w:ilvl="0">
      <w:startOverride w:val="1"/>
    </w:lvlOverride>
  </w:num>
  <w:num w:numId="10">
    <w:abstractNumId w:val="11"/>
    <w:lvlOverride w:ilvl="0">
      <w:startOverride w:val="2"/>
    </w:lvlOverride>
  </w:num>
  <w:num w:numId="11">
    <w:abstractNumId w:val="5"/>
    <w:lvlOverride w:ilvl="0">
      <w:startOverride w:val="3"/>
    </w:lvlOverride>
  </w:num>
  <w:num w:numId="12">
    <w:abstractNumId w:val="12"/>
    <w:lvlOverride w:ilvl="0">
      <w:startOverride w:val="1"/>
    </w:lvlOverride>
  </w:num>
  <w:num w:numId="13">
    <w:abstractNumId w:val="8"/>
    <w:lvlOverride w:ilvl="0">
      <w:startOverride w:val="2"/>
    </w:lvlOverride>
  </w:num>
  <w:num w:numId="14">
    <w:abstractNumId w:val="0"/>
    <w:lvlOverride w:ilvl="0">
      <w:lvl w:ilvl="0">
        <w:numFmt w:val="bullet"/>
        <w:lvlText w:val=""/>
        <w:legacy w:legacy="1" w:legacySpace="0" w:legacyIndent="283"/>
        <w:lvlJc w:val="left"/>
        <w:pPr>
          <w:ind w:left="283" w:hanging="283"/>
        </w:pPr>
        <w:rPr>
          <w:rFonts w:ascii="Symbol" w:hAnsi="Symbol" w:hint="default"/>
        </w:rPr>
      </w:lvl>
    </w:lvlOverride>
  </w:num>
  <w:num w:numId="15">
    <w:abstractNumId w:val="4"/>
    <w:lvlOverride w:ilvl="0">
      <w:startOverride w:val="4"/>
    </w:lvlOverride>
  </w:num>
  <w:num w:numId="16">
    <w:abstractNumId w:val="10"/>
    <w:lvlOverride w:ilvl="0">
      <w:startOverride w:val="1"/>
    </w:lvlOverride>
  </w:num>
  <w:num w:numId="17">
    <w:abstractNumId w:val="7"/>
    <w:lvlOverride w:ilvl="0">
      <w:startOverride w:val="1"/>
    </w:lvlOverride>
  </w:num>
  <w:num w:numId="18">
    <w:abstractNumId w:val="3"/>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BA"/>
    <w:rsid w:val="0012470A"/>
    <w:rsid w:val="001A4296"/>
    <w:rsid w:val="007225D3"/>
    <w:rsid w:val="00725CED"/>
    <w:rsid w:val="00906FD6"/>
    <w:rsid w:val="00AA5775"/>
    <w:rsid w:val="00C90ABA"/>
    <w:rsid w:val="00CB0ECE"/>
    <w:rsid w:val="00E15B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2495E"/>
  <w15:docId w15:val="{373D2BC4-F155-4B39-813B-0EE8B592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C90AB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90ABA"/>
    <w:pPr>
      <w:keepNext/>
      <w:keepLines/>
      <w:suppressAutoHyphens/>
      <w:spacing w:before="240" w:after="120"/>
      <w:outlineLvl w:val="0"/>
    </w:pPr>
    <w:rPr>
      <w:b/>
      <w:caps/>
      <w:kern w:val="28"/>
    </w:rPr>
  </w:style>
  <w:style w:type="paragraph" w:styleId="Nagwek2">
    <w:name w:val="heading 2"/>
    <w:basedOn w:val="Normalny"/>
    <w:next w:val="Normalny"/>
    <w:link w:val="Nagwek2Znak"/>
    <w:semiHidden/>
    <w:unhideWhenUsed/>
    <w:qFormat/>
    <w:rsid w:val="00C90ABA"/>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90ABA"/>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C90ABA"/>
    <w:rPr>
      <w:rFonts w:ascii="Times New Roman" w:eastAsia="Times New Roman" w:hAnsi="Times New Roman" w:cs="Times New Roman"/>
      <w:b/>
      <w:sz w:val="20"/>
      <w:szCs w:val="20"/>
      <w:lang w:eastAsia="pl-PL"/>
    </w:rPr>
  </w:style>
  <w:style w:type="paragraph" w:styleId="Spistreci1">
    <w:name w:val="toc 1"/>
    <w:basedOn w:val="Normalny"/>
    <w:next w:val="Normalny"/>
    <w:autoRedefine/>
    <w:semiHidden/>
    <w:unhideWhenUsed/>
    <w:rsid w:val="00C90ABA"/>
    <w:pPr>
      <w:tabs>
        <w:tab w:val="right" w:leader="dot" w:pos="7371"/>
      </w:tabs>
      <w:spacing w:before="120" w:after="120"/>
      <w:jc w:val="left"/>
    </w:pPr>
    <w:rPr>
      <w:b/>
      <w:caps/>
    </w:rPr>
  </w:style>
  <w:style w:type="paragraph" w:customStyle="1" w:styleId="Standardowytekst">
    <w:name w:val="Standardowy.tekst"/>
    <w:rsid w:val="00C90AB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90ABA"/>
    <w:rPr>
      <w:rFonts w:ascii="Tahoma" w:hAnsi="Tahoma" w:cs="Tahoma"/>
      <w:sz w:val="16"/>
      <w:szCs w:val="16"/>
    </w:rPr>
  </w:style>
  <w:style w:type="character" w:customStyle="1" w:styleId="TekstdymkaZnak">
    <w:name w:val="Tekst dymka Znak"/>
    <w:basedOn w:val="Domylnaczcionkaakapitu"/>
    <w:link w:val="Tekstdymka"/>
    <w:uiPriority w:val="99"/>
    <w:semiHidden/>
    <w:rsid w:val="00C90ABA"/>
    <w:rPr>
      <w:rFonts w:ascii="Tahoma" w:eastAsia="Times New Roman" w:hAnsi="Tahoma" w:cs="Tahoma"/>
      <w:sz w:val="16"/>
      <w:szCs w:val="16"/>
      <w:lang w:eastAsia="pl-PL"/>
    </w:rPr>
  </w:style>
  <w:style w:type="paragraph" w:styleId="Nagwek">
    <w:name w:val="header"/>
    <w:basedOn w:val="Normalny"/>
    <w:link w:val="NagwekZnak"/>
    <w:uiPriority w:val="99"/>
    <w:unhideWhenUsed/>
    <w:rsid w:val="00C90ABA"/>
    <w:pPr>
      <w:tabs>
        <w:tab w:val="center" w:pos="4536"/>
        <w:tab w:val="right" w:pos="9072"/>
      </w:tabs>
    </w:pPr>
  </w:style>
  <w:style w:type="character" w:customStyle="1" w:styleId="NagwekZnak">
    <w:name w:val="Nagłówek Znak"/>
    <w:basedOn w:val="Domylnaczcionkaakapitu"/>
    <w:link w:val="Nagwek"/>
    <w:uiPriority w:val="99"/>
    <w:rsid w:val="00C90AB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90ABA"/>
    <w:pPr>
      <w:tabs>
        <w:tab w:val="center" w:pos="4536"/>
        <w:tab w:val="right" w:pos="9072"/>
      </w:tabs>
    </w:pPr>
  </w:style>
  <w:style w:type="character" w:customStyle="1" w:styleId="StopkaZnak">
    <w:name w:val="Stopka Znak"/>
    <w:basedOn w:val="Domylnaczcionkaakapitu"/>
    <w:link w:val="Stopka"/>
    <w:uiPriority w:val="99"/>
    <w:rsid w:val="00C90ABA"/>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83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4507</Words>
  <Characters>27045</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Siemiatycze</dc:creator>
  <cp:lastModifiedBy>Grzegorz Wiszowaty</cp:lastModifiedBy>
  <cp:revision>5</cp:revision>
  <dcterms:created xsi:type="dcterms:W3CDTF">2020-02-18T11:10:00Z</dcterms:created>
  <dcterms:modified xsi:type="dcterms:W3CDTF">2020-02-19T07:33:00Z</dcterms:modified>
</cp:coreProperties>
</file>