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07" w:rsidRDefault="005E2E6C" w:rsidP="00293D11">
      <w:pPr>
        <w:spacing w:before="0" w:after="0"/>
        <w:jc w:val="right"/>
        <w:rPr>
          <w:rFonts w:ascii="Times New Roman" w:hAnsi="Times New Roman" w:cs="Times New Roman"/>
          <w:u w:val="single"/>
        </w:rPr>
      </w:pPr>
      <w:r w:rsidRPr="008E29F9">
        <w:rPr>
          <w:rFonts w:ascii="Times New Roman" w:hAnsi="Times New Roman" w:cs="Times New Roman"/>
          <w:u w:val="single"/>
        </w:rPr>
        <w:t>Załącznik nr 9</w:t>
      </w:r>
      <w:r w:rsidR="00FB0E07" w:rsidRPr="008E29F9">
        <w:rPr>
          <w:rFonts w:ascii="Times New Roman" w:hAnsi="Times New Roman" w:cs="Times New Roman"/>
          <w:u w:val="single"/>
        </w:rPr>
        <w:t xml:space="preserve"> do SIWZ</w:t>
      </w:r>
    </w:p>
    <w:p w:rsidR="00293D11" w:rsidRPr="008E29F9" w:rsidRDefault="00293D11" w:rsidP="00293D11">
      <w:pPr>
        <w:spacing w:before="0" w:after="0"/>
        <w:jc w:val="center"/>
        <w:rPr>
          <w:rFonts w:ascii="Times New Roman" w:hAnsi="Times New Roman" w:cs="Times New Roman"/>
          <w:u w:val="single"/>
        </w:rPr>
      </w:pP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>(po zmianie 13.12.2019 r.)</w:t>
      </w:r>
    </w:p>
    <w:p w:rsidR="0008438D" w:rsidRPr="008E29F9" w:rsidRDefault="0008438D" w:rsidP="00293D11">
      <w:pPr>
        <w:spacing w:before="0"/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>Wymagania ogólne</w:t>
      </w:r>
      <w:r w:rsidR="00596E94" w:rsidRPr="008E29F9">
        <w:rPr>
          <w:rFonts w:ascii="Times New Roman" w:hAnsi="Times New Roman" w:cs="Times New Roman"/>
          <w:b/>
        </w:rPr>
        <w:t xml:space="preserve"> próbki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Celem złożenia próbki jest potwierdzenie, poprzez jej badanie i wyjaśnianie, zwane dalej badaniem próbki, czy oferowane przez Wykonawcę dostawy i usługi odpowiadają wymaganiom określonym przez Zamawiającego w opisie przedmiotu zamówienia, określone jako „F1” oraz czy oferowane dostawy i usługi posiadają zadeklarowaną przez Wykonawcę funkcjonalność określoną jako „F2”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Z procedury badania próbki zostanie sporządzony protokołu doku</w:t>
      </w:r>
      <w:bookmarkStart w:id="0" w:name="_GoBack"/>
      <w:bookmarkEnd w:id="0"/>
      <w:r w:rsidRPr="008E29F9">
        <w:rPr>
          <w:rFonts w:ascii="Times New Roman" w:hAnsi="Times New Roman" w:cs="Times New Roman"/>
        </w:rPr>
        <w:t xml:space="preserve">mentujący przebieg badania próbki.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Jeżeli po dokonaniu badania próbki okaże się, że oferowany przez </w:t>
      </w:r>
      <w:r w:rsidR="00044796" w:rsidRPr="008E29F9">
        <w:rPr>
          <w:rFonts w:ascii="Times New Roman" w:hAnsi="Times New Roman" w:cs="Times New Roman"/>
        </w:rPr>
        <w:t>W</w:t>
      </w:r>
      <w:r w:rsidRPr="008E29F9">
        <w:rPr>
          <w:rFonts w:ascii="Times New Roman" w:hAnsi="Times New Roman" w:cs="Times New Roman"/>
        </w:rPr>
        <w:t xml:space="preserve">ykonawcę przedmiot zamówienia nie spełnia wymagań określonych przez Zamawiającego w opisie przedmiotu zamówienia, oferta podlega odrzuceniu na podstawie art. 89 ust. 1 pkt 2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 </w:t>
      </w:r>
    </w:p>
    <w:p w:rsidR="0008438D" w:rsidRPr="008E29F9" w:rsidRDefault="0008438D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 xml:space="preserve">Warunki jakie musi </w:t>
      </w:r>
      <w:r w:rsidR="00C93C9A" w:rsidRPr="008E29F9">
        <w:rPr>
          <w:rFonts w:ascii="Times New Roman" w:hAnsi="Times New Roman" w:cs="Times New Roman"/>
          <w:b/>
        </w:rPr>
        <w:t>spełniać</w:t>
      </w:r>
      <w:r w:rsidRPr="008E29F9">
        <w:rPr>
          <w:rFonts w:ascii="Times New Roman" w:hAnsi="Times New Roman" w:cs="Times New Roman"/>
          <w:b/>
        </w:rPr>
        <w:t xml:space="preserve"> próbka</w:t>
      </w:r>
    </w:p>
    <w:p w:rsidR="00D01D00" w:rsidRPr="008E29F9" w:rsidRDefault="00D01D00" w:rsidP="00B6432B">
      <w:pPr>
        <w:pStyle w:val="wielopoziom1"/>
        <w:numPr>
          <w:ilvl w:val="0"/>
          <w:numId w:val="23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Wykonawca przekaże komputer z zainstalowanym na nim oprogramowaniem stanowiącym próbkę dostaw i usług wraz z przykładowymi legalnie pozyskanymi danymi testowymi, pozwalający na uruchomienie oprogramowania (lub maszyn wirtualnych zawierających oprogramowanie) oraz z filmem będącym instrukcją przeprowadzenia badania próbki.</w:t>
      </w:r>
    </w:p>
    <w:p w:rsidR="00B75B50" w:rsidRPr="008E29F9" w:rsidRDefault="00B75B50" w:rsidP="00B6432B">
      <w:pPr>
        <w:pStyle w:val="wielopoziom1"/>
        <w:numPr>
          <w:ilvl w:val="0"/>
          <w:numId w:val="23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Oprogramowanie próbki musi zawierać wszelkie niezbędne do przeprowadzenia badania próbki oprogramowanie (bazę danych, oprogramowanie systemowe, programowanie dziedzinowe usługi itp.).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Próbka musi zawierać zainstalowane przykładowe dane testowe, umożliwiające zbadanie próbki, w tym: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dane dotyczące ewidencji dróg i obiektów mostowych dla minimum 100 km dróg w dowolnym obszarze, w tym drogę kategorii wojewódzka,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dane dotyczące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fotorejestracji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</w:t>
      </w:r>
      <w:r w:rsidR="00FB0E07" w:rsidRPr="008E29F9">
        <w:rPr>
          <w:rFonts w:ascii="Times New Roman" w:hAnsi="Times New Roman" w:cs="Times New Roman"/>
          <w:strike w:val="0"/>
          <w:sz w:val="22"/>
          <w:szCs w:val="22"/>
        </w:rPr>
        <w:t>panoramicznej</w:t>
      </w: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pochodzącej ze skaningu mobilnego z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fotorejestracją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pozyskane w technologii RTK, dla ww. dróg.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dane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EGiB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(przedmiotowe i podmiotowe), BDOT500, GESUT i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EMUiA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</w:t>
      </w:r>
      <w:r w:rsidR="00FB0E07" w:rsidRPr="008E29F9">
        <w:rPr>
          <w:rFonts w:ascii="Times New Roman" w:hAnsi="Times New Roman" w:cs="Times New Roman"/>
          <w:strike w:val="0"/>
          <w:sz w:val="22"/>
          <w:szCs w:val="22"/>
        </w:rPr>
        <w:t xml:space="preserve">(lub TERYT ) </w:t>
      </w:r>
      <w:r w:rsidRPr="008E29F9">
        <w:rPr>
          <w:rFonts w:ascii="Times New Roman" w:hAnsi="Times New Roman" w:cs="Times New Roman"/>
          <w:strike w:val="0"/>
          <w:sz w:val="22"/>
          <w:szCs w:val="22"/>
        </w:rPr>
        <w:t>zapisane w plikach w formatach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gml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lub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swde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dla minimum </w:t>
      </w:r>
      <w:r w:rsidR="00FB0E07" w:rsidRPr="008E29F9">
        <w:rPr>
          <w:rFonts w:ascii="Times New Roman" w:hAnsi="Times New Roman" w:cs="Times New Roman"/>
          <w:strike w:val="0"/>
          <w:sz w:val="22"/>
          <w:szCs w:val="22"/>
        </w:rPr>
        <w:t>jednego obrębu geodezyjnego</w:t>
      </w:r>
      <w:r w:rsidRPr="008E29F9">
        <w:rPr>
          <w:rFonts w:ascii="Times New Roman" w:hAnsi="Times New Roman" w:cs="Times New Roman"/>
          <w:strike w:val="0"/>
          <w:sz w:val="22"/>
          <w:szCs w:val="22"/>
        </w:rPr>
        <w:t>, znajdujące się w obszarze ww. dróg,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dxf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 (np. dokumentacja projektowa), położony w obszarze ww. dróg, 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*.jpg,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png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lub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tiff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 (np. wydruk mapy zasadniczej), położony w obszarze ww. dróg, 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shp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drogowej, położony w obszarze ww. dróg, 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lastRenderedPageBreak/>
        <w:t xml:space="preserve">plik zapisany w formacie TXT zawierający pikiety (pomierzone współrzędne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x,y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>), położony w obszarze ww. dróg.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Przykładowe dane testowe nie mogą naruszać zapisów Ustawy o ochronie danych osobowych. W przypadku jej naruszenia całkowitą odpowiedzialność ponosi Wykonawca.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Przygotowanie próbki w inny sposób niż opisany będzie traktowane jako niezgodność oferty z wymaganiami SIWZ i spowoduje odrzucenie oferty na podstawie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. </w:t>
      </w:r>
    </w:p>
    <w:p w:rsidR="00B75B50" w:rsidRPr="008E29F9" w:rsidRDefault="00B75B50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>Procedura badania próbki</w:t>
      </w:r>
    </w:p>
    <w:p w:rsidR="00D01D00" w:rsidRPr="008E29F9" w:rsidRDefault="00B75B50" w:rsidP="00D01D00">
      <w:pPr>
        <w:pStyle w:val="wielopoziom1"/>
        <w:numPr>
          <w:ilvl w:val="0"/>
          <w:numId w:val="21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Badanie próbki odbędzie się w siedzibie Zamawiającego z wykorzystaniem </w:t>
      </w:r>
      <w:r w:rsidR="00D01D00" w:rsidRPr="008E29F9">
        <w:rPr>
          <w:rFonts w:ascii="Times New Roman" w:hAnsi="Times New Roman" w:cs="Times New Roman"/>
        </w:rPr>
        <w:t>przekazanego komputera</w:t>
      </w:r>
      <w:r w:rsidRPr="008E29F9">
        <w:rPr>
          <w:rFonts w:ascii="Times New Roman" w:hAnsi="Times New Roman" w:cs="Times New Roman"/>
        </w:rPr>
        <w:t xml:space="preserve">. Za legalne użytkowanie i licencje oprogramowania bazowego odpowiada Wykonawca. </w:t>
      </w:r>
    </w:p>
    <w:p w:rsidR="00D01D00" w:rsidRPr="008E29F9" w:rsidRDefault="00D01D00" w:rsidP="00D01D00">
      <w:pPr>
        <w:pStyle w:val="wielopoziom1"/>
        <w:numPr>
          <w:ilvl w:val="0"/>
          <w:numId w:val="21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Zamawiający przeprowadzi badanie próbki na podstawie przekazanego komputera wraz z próbką filmu instruktarzowego. Film musi umożliwić zbadanie próbki wg scenariusza testowego próbki</w:t>
      </w:r>
    </w:p>
    <w:p w:rsidR="00B430D4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Próbka oceniana b</w:t>
      </w:r>
      <w:r w:rsidR="00B430D4" w:rsidRPr="008E29F9">
        <w:rPr>
          <w:rFonts w:ascii="Times New Roman" w:hAnsi="Times New Roman" w:cs="Times New Roman"/>
        </w:rPr>
        <w:t xml:space="preserve">ędzie przez Komisję </w:t>
      </w:r>
      <w:r w:rsidRPr="008E29F9">
        <w:rPr>
          <w:rFonts w:ascii="Times New Roman" w:hAnsi="Times New Roman" w:cs="Times New Roman"/>
        </w:rPr>
        <w:t>powołaną przez Zamawiającego</w:t>
      </w:r>
      <w:r w:rsidR="00B430D4" w:rsidRPr="008E29F9">
        <w:rPr>
          <w:rFonts w:ascii="Times New Roman" w:hAnsi="Times New Roman" w:cs="Times New Roman"/>
        </w:rPr>
        <w:t>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Ocenie przez komisję podlegać będą zadeklarowane przez Wykonawcę następujące funkcjonalności: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F1 – są to funkcjonalności wymagane przez Zamawiającego na moment złożenia oferty, dotyczące cech systemu dostarczanego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F2 – są to funkcjonalności zadeklarowane przez Wykonawcę dostępne na moment złożenia oferty dotyczące cech systemu dostarczanego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W przypadku stwierdzenia w trakcie badania próbki, że funkcjonalności określone przez Zamawiającego jako „F1” nie są spełnione, następuje odrzucenie oferty, zgodnie z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W przypadku stwierdzenia w trakcie badania próbki, że funkcjonalności określone przez Zamawiającego jako opcjonalne „F2” nie są spełnione, Zamawiający uzna, że dana funkcjonalność nie został zaoferowana i skoryguje odpowiednio ilość punktów przyznanych ofercie Wykonawcy w kryterium Funkcjonalność.</w:t>
      </w:r>
    </w:p>
    <w:p w:rsidR="003D0D7D" w:rsidRPr="008E29F9" w:rsidRDefault="00B75B50" w:rsidP="003D0D7D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Oprogramowanie musi być dostępne przez przeglądarkę internetową bez konieczności instalacji oprogramowania po stronie użytkownika.</w:t>
      </w:r>
      <w:r w:rsidR="002F1332" w:rsidRPr="008E29F9">
        <w:rPr>
          <w:rFonts w:ascii="Times New Roman" w:hAnsi="Times New Roman" w:cs="Times New Roman"/>
        </w:rPr>
        <w:t xml:space="preserve"> </w:t>
      </w:r>
      <w:r w:rsidRPr="008E29F9">
        <w:rPr>
          <w:rFonts w:ascii="Times New Roman" w:hAnsi="Times New Roman" w:cs="Times New Roman"/>
        </w:rPr>
        <w:t xml:space="preserve">W przypadku niespełnienia tego warunku następuje odrzucenie oferty, zgodnie z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="00744D61" w:rsidRPr="008E29F9">
        <w:rPr>
          <w:rFonts w:ascii="Times New Roman" w:hAnsi="Times New Roman" w:cs="Times New Roman"/>
        </w:rPr>
        <w:t>. Powyższy zapis nie dotyczy testowania funkcjonalności aplikacji desktop.</w:t>
      </w:r>
    </w:p>
    <w:p w:rsidR="008E29F9" w:rsidRDefault="008E29F9">
      <w:pPr>
        <w:spacing w:before="0"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56B4" w:rsidRDefault="00411406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lastRenderedPageBreak/>
        <w:t>Scenariusze</w:t>
      </w:r>
      <w:r w:rsidR="0008438D" w:rsidRPr="008E29F9">
        <w:rPr>
          <w:rFonts w:ascii="Times New Roman" w:hAnsi="Times New Roman" w:cs="Times New Roman"/>
          <w:b/>
        </w:rPr>
        <w:t xml:space="preserve"> testowe próbki</w:t>
      </w: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541"/>
        <w:gridCol w:w="6477"/>
        <w:gridCol w:w="1341"/>
        <w:gridCol w:w="1139"/>
      </w:tblGrid>
      <w:tr w:rsidR="007171C5" w:rsidRPr="007171C5" w:rsidTr="007171C5">
        <w:trPr>
          <w:trHeight w:val="540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Funkcjonalność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Wymaganie</w:t>
            </w:r>
          </w:p>
        </w:tc>
        <w:tc>
          <w:tcPr>
            <w:tcW w:w="1139" w:type="dxa"/>
            <w:vAlign w:val="center"/>
            <w:hideMark/>
          </w:tcPr>
          <w:p w:rsidR="007171C5" w:rsidRPr="007171C5" w:rsidRDefault="007171C5" w:rsidP="00717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 xml:space="preserve">Pokaz tworzenia systemu referencyjnego dla narzędzia internetowego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i </w:t>
            </w:r>
            <w:r w:rsidRPr="007171C5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lub </w:t>
            </w:r>
            <w:r w:rsidRPr="007171C5">
              <w:rPr>
                <w:rFonts w:ascii="Times New Roman" w:hAnsi="Times New Roman" w:cs="Times New Roman"/>
                <w:b/>
                <w:bCs/>
              </w:rPr>
              <w:t xml:space="preserve">desktopowego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(obydwie wersje musza mieć zbliżony interfejs i funkcje rysunkowe)</w:t>
            </w:r>
            <w:r w:rsidRPr="007171C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odcinków referencyjnych bez punktów referencyjnych -system powinien automatycznie dostawić brakujące punkty referencyjne,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Modyfikacja węzłów systemu referencyjnego z dochodzącymi min 3 odcinkami referencyjnymi - -odporność na kasowanie punktu referencyjnego, przesunięcie węzła ma ciągnąć za sobą końce wszystkich odcinków referencyjnych,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Przeliczanie nieciągłego przebiegu drogi – pokazanie kontynuacji naliczenia długości drogi, której przebieg jest ograniczony drogą wyższej kategorii,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Obsługa zewnętrznych danych, podłączanie źródeł danych: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Odczyt i podłączenie na mapie GML, SHP, DXF, TIFF i JPG w narzędziu internetowym,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Odczyt i podłączenie na mapie GML, SHP, DXF, DWG, DGN, LAS, TIFF, JPG, </w:t>
            </w:r>
            <w:proofErr w:type="spellStart"/>
            <w:r w:rsidRPr="007171C5">
              <w:rPr>
                <w:rFonts w:ascii="Times New Roman" w:hAnsi="Times New Roman" w:cs="Times New Roman"/>
              </w:rPr>
              <w:t>MrSID</w:t>
            </w:r>
            <w:proofErr w:type="spellEnd"/>
            <w:r w:rsidRPr="007171C5">
              <w:rPr>
                <w:rFonts w:ascii="Times New Roman" w:hAnsi="Times New Roman" w:cs="Times New Roman"/>
              </w:rPr>
              <w:t xml:space="preserve"> w narzędziu desktopowym </w:t>
            </w:r>
            <w:r w:rsidRPr="007171C5">
              <w:rPr>
                <w:rFonts w:ascii="Times New Roman" w:hAnsi="Times New Roman" w:cs="Times New Roman"/>
                <w:color w:val="00B050"/>
              </w:rPr>
              <w:t>lub internetowym</w:t>
            </w:r>
            <w:r w:rsidRPr="007171C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Podłączenie innej bazy Oracle w narzędziu Desktopowym </w:t>
            </w:r>
            <w:r w:rsidRPr="007171C5">
              <w:rPr>
                <w:rFonts w:ascii="Times New Roman" w:hAnsi="Times New Roman" w:cs="Times New Roman"/>
                <w:color w:val="00B050"/>
              </w:rPr>
              <w:t xml:space="preserve">lub przeglądarce internetowej </w:t>
            </w:r>
            <w:r w:rsidRPr="007171C5">
              <w:rPr>
                <w:rFonts w:ascii="Times New Roman" w:hAnsi="Times New Roman" w:cs="Times New Roman"/>
              </w:rPr>
              <w:t>(z podaniem pełnych parametrów logowania: login, hasło, adres IP serwera), przeszukanie tabel, dołożenie warstwy opartej na istniejącej tabeli, stworzenie nowej tabeli, sekwencji i indeksu przestrzennego,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3.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Pokaz synchronizacji narzędzia desktop i serwera internetowego:</w:t>
            </w:r>
          </w:p>
        </w:tc>
        <w:tc>
          <w:tcPr>
            <w:tcW w:w="113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58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Modyfikacja obiektów drogi w narzędziu desktop.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58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b.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Zapis zmodyfikowanych danych do bazy danych.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</w:p>
        </w:tc>
      </w:tr>
      <w:tr w:rsidR="007171C5" w:rsidRPr="007171C5" w:rsidTr="007171C5">
        <w:trPr>
          <w:trHeight w:val="563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Pokazanie zmian w narzędziu internetowym bez ingerencji operatora poprzez przeglądarkę i natywny serwis WMS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 xml:space="preserve">Pokaz projektowania organizacji ruchu w wersji internetowej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i </w:t>
            </w:r>
            <w:r w:rsidRPr="007171C5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lub </w:t>
            </w:r>
            <w:r w:rsidRPr="007171C5">
              <w:rPr>
                <w:rFonts w:ascii="Times New Roman" w:hAnsi="Times New Roman" w:cs="Times New Roman"/>
                <w:b/>
                <w:bCs/>
              </w:rPr>
              <w:t xml:space="preserve">desktopowej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(obydwie wersje musza mieć zbliżony interfejs i funkcje rysunkowe):</w:t>
            </w:r>
          </w:p>
        </w:tc>
      </w:tr>
      <w:tr w:rsidR="007171C5" w:rsidRPr="007171C5" w:rsidTr="007171C5">
        <w:trPr>
          <w:trHeight w:val="35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Założenie projektu,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1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Wczytanie znaków do projektu istniejących w skali szarości,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43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lastRenderedPageBreak/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przejścia dla pieszych pod kątem i o nieregularnym kształcie ograniczonym dowolnym wielobokiem,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38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sygnalizatorów i kilku znaków pionowych (znaki nowe musza być wstawiane jako kolorowe),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524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Skasowanie istniejącego przejścia dla pieszych (pokazanie czerwonym X obiektu kasowanego),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368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Wdrożenie projektu do ewidencji z zadaną datą.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Pokaz wydania decyzji administracyjnej: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Założenie rekordu nowego petenta, który ma strukturę wielopoziomową np.: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PGNIG SA Centrala w Warszawie NIP 111111111</w:t>
            </w:r>
          </w:p>
        </w:tc>
        <w:tc>
          <w:tcPr>
            <w:tcW w:w="2273" w:type="dxa"/>
            <w:gridSpan w:val="2"/>
            <w:vMerge w:val="restart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Oddział PGNIG SA w Białymstoku NIP 222222222</w:t>
            </w:r>
          </w:p>
        </w:tc>
        <w:tc>
          <w:tcPr>
            <w:tcW w:w="2273" w:type="dxa"/>
            <w:gridSpan w:val="2"/>
            <w:vMerge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Rejon PGNIG SA w Hajnówce NIP 33333333</w:t>
            </w:r>
          </w:p>
        </w:tc>
        <w:tc>
          <w:tcPr>
            <w:tcW w:w="2273" w:type="dxa"/>
            <w:gridSpan w:val="2"/>
            <w:vMerge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Wydanie decyzji wieloetapowej na zajęcie pasa drogowego pod inwestycje:</w:t>
            </w:r>
          </w:p>
        </w:tc>
        <w:tc>
          <w:tcPr>
            <w:tcW w:w="2273" w:type="dxa"/>
            <w:gridSpan w:val="2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3 etapy w różnych lokalizacjach i różnych datach obowiązywania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Wprowadzenie różnych warunków dla każdego etapu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Naliczenie opłat za urządzenia od daty obowiązywania na 25 lat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Wygenerowanie decyzji obejmującej wszystkie etapy na jednym formularzu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Dokonanie korekt decyzji w edytorze modułu Zajęć pasa drogowego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Zapisanie poprawionego dokumentu do bazy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Wydanie decyzji karnej do istniejącej decyzji na zajęcie pasa drogowego:</w:t>
            </w:r>
          </w:p>
        </w:tc>
        <w:tc>
          <w:tcPr>
            <w:tcW w:w="2273" w:type="dxa"/>
            <w:gridSpan w:val="2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Odszukanie decyzji wydanej w punkcie 5 b.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Naliczenie opłat karnych za zajęcie obiektów drogi, na 3 dni przed uzyskaniem prawomocnej decyzji na zajęcie pasa z punktu 5 b.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Wygenerowanie decyzji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540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Dostęp z poziomu mapy do szczegółowych informacji dotyczących adresu i działki (dane przedmiotowe i podmiotowe </w:t>
            </w:r>
            <w:proofErr w:type="spellStart"/>
            <w:r w:rsidRPr="007171C5">
              <w:rPr>
                <w:rFonts w:ascii="Times New Roman" w:hAnsi="Times New Roman" w:cs="Times New Roman"/>
              </w:rPr>
              <w:t>EGiB</w:t>
            </w:r>
            <w:proofErr w:type="spellEnd"/>
            <w:r w:rsidRPr="007171C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6.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Pokaz wideo rejestracji w wersji desktop: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Rysowanie obiektów 3 różnych klas na zdjęciu (punkt, linia, wielobok),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Obsługa zdjęć 360 stopni,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524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Możliwości wyświetlania na zdjęciu obiektów drogi oraz podkładów rastrowych.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Pokaz wideo rejestracji w wersji internetowej: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Rysowanie obiektów 3 różnych klas na zdjęciu (punkt, linia, wielobok),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Obsługa zdjęć 360 stopni,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571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Możliwości wyświetlania na zdjęciu obiektów drogi oraz podkładów rastrowych.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BE19C0" w:rsidRPr="008E29F9" w:rsidRDefault="00BE19C0">
      <w:pPr>
        <w:rPr>
          <w:rFonts w:ascii="Times New Roman" w:hAnsi="Times New Roman" w:cs="Times New Roman"/>
        </w:rPr>
      </w:pPr>
    </w:p>
    <w:sectPr w:rsidR="00BE19C0" w:rsidRPr="008E29F9" w:rsidSect="00FB0E07">
      <w:headerReference w:type="default" r:id="rId8"/>
      <w:footerReference w:type="default" r:id="rId9"/>
      <w:pgSz w:w="11906" w:h="16838"/>
      <w:pgMar w:top="22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4D" w:rsidRDefault="0050194D">
      <w:pPr>
        <w:spacing w:before="0" w:after="0" w:line="240" w:lineRule="auto"/>
      </w:pPr>
      <w:r>
        <w:separator/>
      </w:r>
    </w:p>
  </w:endnote>
  <w:endnote w:type="continuationSeparator" w:id="0">
    <w:p w:rsidR="0050194D" w:rsidRDefault="005019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773107"/>
      <w:docPartObj>
        <w:docPartGallery w:val="Page Numbers (Bottom of Page)"/>
        <w:docPartUnique/>
      </w:docPartObj>
    </w:sdtPr>
    <w:sdtEndPr/>
    <w:sdtContent>
      <w:p w:rsidR="00B32E58" w:rsidRPr="00326809" w:rsidRDefault="00B32E58" w:rsidP="00B32E58">
        <w:pPr>
          <w:pStyle w:val="Stopka"/>
          <w:jc w:val="center"/>
          <w:rPr>
            <w:rFonts w:ascii="Tahoma" w:eastAsia="Calibri" w:hAnsi="Tahoma" w:cs="Tahoma"/>
            <w:bCs/>
            <w:sz w:val="16"/>
            <w:szCs w:val="16"/>
          </w:rPr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>Projekt „Elektroniczne usługi publiczne Podlaskiego Zarządu Dróg Wojewódzkich w Białymstoku”</w:t>
        </w:r>
      </w:p>
      <w:p w:rsidR="00B32E58" w:rsidRPr="00326809" w:rsidRDefault="00B32E58" w:rsidP="00B32E58">
        <w:pPr>
          <w:pStyle w:val="Stopka"/>
          <w:jc w:val="center"/>
          <w:rPr>
            <w:rFonts w:ascii="Tahoma" w:eastAsia="Calibri" w:hAnsi="Tahoma" w:cs="Tahoma"/>
            <w:bCs/>
            <w:sz w:val="16"/>
            <w:szCs w:val="16"/>
          </w:rPr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 xml:space="preserve">dofinansowany z Unii Europejskiej w ramach środków Europejskiego Funduszu Rozwoju Regionalnego w ramach </w:t>
        </w:r>
        <w:r>
          <w:rPr>
            <w:rFonts w:ascii="Tahoma" w:eastAsia="Calibri" w:hAnsi="Tahoma" w:cs="Tahoma"/>
            <w:bCs/>
            <w:sz w:val="16"/>
            <w:szCs w:val="16"/>
          </w:rPr>
          <w:br/>
        </w:r>
        <w:r w:rsidRPr="00326809">
          <w:rPr>
            <w:rFonts w:ascii="Tahoma" w:eastAsia="Calibri" w:hAnsi="Tahoma" w:cs="Tahoma"/>
            <w:bCs/>
            <w:sz w:val="16"/>
            <w:szCs w:val="16"/>
          </w:rPr>
          <w:t>Regionalnego Programu Operacyjnego Województwa Podlaskiego na lata 2014-2020,</w:t>
        </w:r>
      </w:p>
      <w:p w:rsidR="00C53477" w:rsidRDefault="00B32E58" w:rsidP="00B32E58">
        <w:pPr>
          <w:pStyle w:val="Stopka"/>
          <w:jc w:val="center"/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>Oś VIII: Infrastruktura dla usług użyteczności publicznej 8.1 Rozwój usług publicznych świadczonych drogą elektroniczną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4D" w:rsidRDefault="0050194D">
      <w:pPr>
        <w:spacing w:before="0" w:after="0" w:line="240" w:lineRule="auto"/>
      </w:pPr>
      <w:r>
        <w:separator/>
      </w:r>
    </w:p>
  </w:footnote>
  <w:footnote w:type="continuationSeparator" w:id="0">
    <w:p w:rsidR="0050194D" w:rsidRDefault="005019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07" w:rsidRDefault="00FB0E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26C09E" wp14:editId="19B867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085" cy="496570"/>
          <wp:effectExtent l="0" t="0" r="0" b="0"/>
          <wp:wrapNone/>
          <wp:docPr id="1" name="Obraz 4" descr="Zestawienie znaków 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ów 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2F9"/>
    <w:multiLevelType w:val="hybridMultilevel"/>
    <w:tmpl w:val="5510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07F"/>
    <w:multiLevelType w:val="hybridMultilevel"/>
    <w:tmpl w:val="85ACB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367C"/>
    <w:multiLevelType w:val="multilevel"/>
    <w:tmpl w:val="F6C22F50"/>
    <w:lvl w:ilvl="0">
      <w:start w:val="1"/>
      <w:numFmt w:val="decimal"/>
      <w:pStyle w:val="wielopoziom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wielopoziom2"/>
      <w:lvlText w:val="%2."/>
      <w:lvlJc w:val="left"/>
      <w:pPr>
        <w:tabs>
          <w:tab w:val="num" w:pos="851"/>
        </w:tabs>
        <w:ind w:left="1134" w:hanging="283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pStyle w:val="wielopoziom3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pStyle w:val="Akapitzlist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FF60706"/>
    <w:multiLevelType w:val="hybridMultilevel"/>
    <w:tmpl w:val="2E82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0650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1217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24830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0C3A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6B7B"/>
    <w:multiLevelType w:val="hybridMultilevel"/>
    <w:tmpl w:val="3996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022AB"/>
    <w:multiLevelType w:val="multilevel"/>
    <w:tmpl w:val="6164AB6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>
    <w:nsid w:val="54B26853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20777"/>
    <w:multiLevelType w:val="hybridMultilevel"/>
    <w:tmpl w:val="0A66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851EB"/>
    <w:multiLevelType w:val="hybridMultilevel"/>
    <w:tmpl w:val="E7E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5500D"/>
    <w:multiLevelType w:val="hybridMultilevel"/>
    <w:tmpl w:val="9826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86CCA"/>
    <w:multiLevelType w:val="hybridMultilevel"/>
    <w:tmpl w:val="985A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44F8C"/>
    <w:multiLevelType w:val="hybridMultilevel"/>
    <w:tmpl w:val="2E82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A5B05"/>
    <w:multiLevelType w:val="hybridMultilevel"/>
    <w:tmpl w:val="3614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D"/>
    <w:rsid w:val="00044796"/>
    <w:rsid w:val="00061E9F"/>
    <w:rsid w:val="00072D35"/>
    <w:rsid w:val="0007422A"/>
    <w:rsid w:val="0008438D"/>
    <w:rsid w:val="001633BD"/>
    <w:rsid w:val="001648D1"/>
    <w:rsid w:val="001C303F"/>
    <w:rsid w:val="001F083B"/>
    <w:rsid w:val="0021397D"/>
    <w:rsid w:val="00293D11"/>
    <w:rsid w:val="002B519D"/>
    <w:rsid w:val="002D5860"/>
    <w:rsid w:val="002E7D64"/>
    <w:rsid w:val="002F1332"/>
    <w:rsid w:val="003B4FFC"/>
    <w:rsid w:val="003D0D7D"/>
    <w:rsid w:val="00411406"/>
    <w:rsid w:val="00413C88"/>
    <w:rsid w:val="004C605F"/>
    <w:rsid w:val="004F465C"/>
    <w:rsid w:val="0050194D"/>
    <w:rsid w:val="00563A0C"/>
    <w:rsid w:val="00596E94"/>
    <w:rsid w:val="005A2D93"/>
    <w:rsid w:val="005E2E6C"/>
    <w:rsid w:val="006356B4"/>
    <w:rsid w:val="0064637D"/>
    <w:rsid w:val="007171C5"/>
    <w:rsid w:val="00741C1B"/>
    <w:rsid w:val="007439E9"/>
    <w:rsid w:val="00744D61"/>
    <w:rsid w:val="007B281B"/>
    <w:rsid w:val="008676AD"/>
    <w:rsid w:val="008B5907"/>
    <w:rsid w:val="008E29F9"/>
    <w:rsid w:val="009812F4"/>
    <w:rsid w:val="009C189E"/>
    <w:rsid w:val="00A50043"/>
    <w:rsid w:val="00A569B1"/>
    <w:rsid w:val="00AA6F8F"/>
    <w:rsid w:val="00B17DF1"/>
    <w:rsid w:val="00B32E58"/>
    <w:rsid w:val="00B430D4"/>
    <w:rsid w:val="00B52E88"/>
    <w:rsid w:val="00B6432B"/>
    <w:rsid w:val="00B75B50"/>
    <w:rsid w:val="00BB233E"/>
    <w:rsid w:val="00BE19C0"/>
    <w:rsid w:val="00C1399B"/>
    <w:rsid w:val="00C93C9A"/>
    <w:rsid w:val="00CC1C82"/>
    <w:rsid w:val="00D01D00"/>
    <w:rsid w:val="00D2136A"/>
    <w:rsid w:val="00D85007"/>
    <w:rsid w:val="00DB51D2"/>
    <w:rsid w:val="00DE4040"/>
    <w:rsid w:val="00DE5C83"/>
    <w:rsid w:val="00E46C56"/>
    <w:rsid w:val="00FB0E0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8D"/>
    <w:pPr>
      <w:spacing w:before="200" w:line="259" w:lineRule="auto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8438D"/>
    <w:pPr>
      <w:numPr>
        <w:numId w:val="3"/>
      </w:numPr>
      <w:pBdr>
        <w:top w:val="single" w:sz="24" w:space="1" w:color="4F81BD" w:themeColor="accent1"/>
        <w:left w:val="single" w:sz="24" w:space="4" w:color="4F81BD" w:themeColor="accent1"/>
        <w:bottom w:val="single" w:sz="24" w:space="1" w:color="4F81BD" w:themeColor="accent1"/>
        <w:right w:val="single" w:sz="24" w:space="4" w:color="4F81BD" w:themeColor="accent1"/>
      </w:pBdr>
      <w:shd w:val="clear" w:color="auto" w:fill="4F81BD" w:themeFill="accent1"/>
      <w:tabs>
        <w:tab w:val="left" w:pos="567"/>
      </w:tabs>
      <w:spacing w:line="276" w:lineRule="auto"/>
      <w:contextualSpacing/>
      <w:jc w:val="left"/>
      <w:textboxTightWrap w:val="allLines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438D"/>
    <w:pPr>
      <w:numPr>
        <w:ilvl w:val="1"/>
        <w:numId w:val="3"/>
      </w:numPr>
      <w:shd w:val="clear" w:color="auto" w:fill="EEECE1" w:themeFill="background2"/>
      <w:spacing w:line="276" w:lineRule="auto"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8438D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38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38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38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38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38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38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38D"/>
    <w:rPr>
      <w:rFonts w:asciiTheme="majorHAnsi" w:eastAsiaTheme="majorEastAsia" w:hAnsiTheme="majorHAnsi" w:cstheme="majorBidi"/>
      <w:b/>
      <w:caps/>
      <w:color w:val="FFFFFF" w:themeColor="background1"/>
      <w:szCs w:val="3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8438D"/>
    <w:rPr>
      <w:rFonts w:asciiTheme="majorHAnsi" w:eastAsiaTheme="majorEastAsia" w:hAnsiTheme="majorHAnsi" w:cstheme="majorBidi"/>
      <w:caps/>
      <w:szCs w:val="26"/>
      <w:shd w:val="clear" w:color="auto" w:fill="EEECE1" w:themeFill="background2"/>
    </w:rPr>
  </w:style>
  <w:style w:type="character" w:customStyle="1" w:styleId="Nagwek3Znak">
    <w:name w:val="Nagłówek 3 Znak"/>
    <w:basedOn w:val="Domylnaczcionkaakapitu"/>
    <w:link w:val="Nagwek3"/>
    <w:uiPriority w:val="9"/>
    <w:rsid w:val="00084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3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3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3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autoRedefine/>
    <w:uiPriority w:val="34"/>
    <w:qFormat/>
    <w:rsid w:val="0008438D"/>
    <w:pPr>
      <w:numPr>
        <w:ilvl w:val="3"/>
        <w:numId w:val="1"/>
      </w:numPr>
      <w:spacing w:line="276" w:lineRule="auto"/>
      <w:contextualSpacing/>
    </w:pPr>
  </w:style>
  <w:style w:type="paragraph" w:customStyle="1" w:styleId="wielopoziom1">
    <w:name w:val="wielopoziom1"/>
    <w:basedOn w:val="Akapitzlist"/>
    <w:autoRedefine/>
    <w:qFormat/>
    <w:rsid w:val="00B6432B"/>
    <w:pPr>
      <w:numPr>
        <w:ilvl w:val="0"/>
      </w:numPr>
      <w:spacing w:before="120" w:after="120"/>
      <w:contextualSpacing w:val="0"/>
    </w:pPr>
    <w:rPr>
      <w:lang w:eastAsia="pl-PL"/>
    </w:rPr>
  </w:style>
  <w:style w:type="paragraph" w:customStyle="1" w:styleId="wielopoziom2">
    <w:name w:val="wielopoziom2"/>
    <w:basedOn w:val="wielopoziom1"/>
    <w:autoRedefine/>
    <w:qFormat/>
    <w:rsid w:val="006356B4"/>
    <w:pPr>
      <w:numPr>
        <w:ilvl w:val="1"/>
      </w:numPr>
      <w:spacing w:before="0" w:after="0" w:line="360" w:lineRule="auto"/>
      <w:textAlignment w:val="baseline"/>
    </w:pPr>
    <w:rPr>
      <w:rFonts w:eastAsia="Calibri" w:cs="Calibri"/>
      <w:strike/>
      <w:sz w:val="20"/>
      <w:szCs w:val="23"/>
    </w:rPr>
  </w:style>
  <w:style w:type="paragraph" w:customStyle="1" w:styleId="wielopoziom3">
    <w:name w:val="wielopoziom3"/>
    <w:basedOn w:val="wielopoziom2"/>
    <w:qFormat/>
    <w:rsid w:val="0008438D"/>
    <w:pPr>
      <w:numPr>
        <w:ilvl w:val="2"/>
      </w:numPr>
    </w:pPr>
  </w:style>
  <w:style w:type="paragraph" w:styleId="Stopka">
    <w:name w:val="footer"/>
    <w:basedOn w:val="Normalny"/>
    <w:link w:val="StopkaZnak"/>
    <w:unhideWhenUsed/>
    <w:rsid w:val="000843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8438D"/>
  </w:style>
  <w:style w:type="paragraph" w:styleId="Nagwek">
    <w:name w:val="header"/>
    <w:basedOn w:val="Normalny"/>
    <w:link w:val="NagwekZnak"/>
    <w:uiPriority w:val="99"/>
    <w:unhideWhenUsed/>
    <w:rsid w:val="00B75B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B50"/>
  </w:style>
  <w:style w:type="table" w:styleId="Tabela-Siatka">
    <w:name w:val="Table Grid"/>
    <w:basedOn w:val="Standardowy"/>
    <w:uiPriority w:val="59"/>
    <w:rsid w:val="0063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635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8D"/>
    <w:pPr>
      <w:spacing w:before="200" w:line="259" w:lineRule="auto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8438D"/>
    <w:pPr>
      <w:numPr>
        <w:numId w:val="3"/>
      </w:numPr>
      <w:pBdr>
        <w:top w:val="single" w:sz="24" w:space="1" w:color="4F81BD" w:themeColor="accent1"/>
        <w:left w:val="single" w:sz="24" w:space="4" w:color="4F81BD" w:themeColor="accent1"/>
        <w:bottom w:val="single" w:sz="24" w:space="1" w:color="4F81BD" w:themeColor="accent1"/>
        <w:right w:val="single" w:sz="24" w:space="4" w:color="4F81BD" w:themeColor="accent1"/>
      </w:pBdr>
      <w:shd w:val="clear" w:color="auto" w:fill="4F81BD" w:themeFill="accent1"/>
      <w:tabs>
        <w:tab w:val="left" w:pos="567"/>
      </w:tabs>
      <w:spacing w:line="276" w:lineRule="auto"/>
      <w:contextualSpacing/>
      <w:jc w:val="left"/>
      <w:textboxTightWrap w:val="allLines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438D"/>
    <w:pPr>
      <w:numPr>
        <w:ilvl w:val="1"/>
        <w:numId w:val="3"/>
      </w:numPr>
      <w:shd w:val="clear" w:color="auto" w:fill="EEECE1" w:themeFill="background2"/>
      <w:spacing w:line="276" w:lineRule="auto"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8438D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38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38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38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38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38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38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38D"/>
    <w:rPr>
      <w:rFonts w:asciiTheme="majorHAnsi" w:eastAsiaTheme="majorEastAsia" w:hAnsiTheme="majorHAnsi" w:cstheme="majorBidi"/>
      <w:b/>
      <w:caps/>
      <w:color w:val="FFFFFF" w:themeColor="background1"/>
      <w:szCs w:val="3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8438D"/>
    <w:rPr>
      <w:rFonts w:asciiTheme="majorHAnsi" w:eastAsiaTheme="majorEastAsia" w:hAnsiTheme="majorHAnsi" w:cstheme="majorBidi"/>
      <w:caps/>
      <w:szCs w:val="26"/>
      <w:shd w:val="clear" w:color="auto" w:fill="EEECE1" w:themeFill="background2"/>
    </w:rPr>
  </w:style>
  <w:style w:type="character" w:customStyle="1" w:styleId="Nagwek3Znak">
    <w:name w:val="Nagłówek 3 Znak"/>
    <w:basedOn w:val="Domylnaczcionkaakapitu"/>
    <w:link w:val="Nagwek3"/>
    <w:uiPriority w:val="9"/>
    <w:rsid w:val="00084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3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3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3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autoRedefine/>
    <w:uiPriority w:val="34"/>
    <w:qFormat/>
    <w:rsid w:val="0008438D"/>
    <w:pPr>
      <w:numPr>
        <w:ilvl w:val="3"/>
        <w:numId w:val="1"/>
      </w:numPr>
      <w:spacing w:line="276" w:lineRule="auto"/>
      <w:contextualSpacing/>
    </w:pPr>
  </w:style>
  <w:style w:type="paragraph" w:customStyle="1" w:styleId="wielopoziom1">
    <w:name w:val="wielopoziom1"/>
    <w:basedOn w:val="Akapitzlist"/>
    <w:autoRedefine/>
    <w:qFormat/>
    <w:rsid w:val="00B6432B"/>
    <w:pPr>
      <w:numPr>
        <w:ilvl w:val="0"/>
      </w:numPr>
      <w:spacing w:before="120" w:after="120"/>
      <w:contextualSpacing w:val="0"/>
    </w:pPr>
    <w:rPr>
      <w:lang w:eastAsia="pl-PL"/>
    </w:rPr>
  </w:style>
  <w:style w:type="paragraph" w:customStyle="1" w:styleId="wielopoziom2">
    <w:name w:val="wielopoziom2"/>
    <w:basedOn w:val="wielopoziom1"/>
    <w:autoRedefine/>
    <w:qFormat/>
    <w:rsid w:val="006356B4"/>
    <w:pPr>
      <w:numPr>
        <w:ilvl w:val="1"/>
      </w:numPr>
      <w:spacing w:before="0" w:after="0" w:line="360" w:lineRule="auto"/>
      <w:textAlignment w:val="baseline"/>
    </w:pPr>
    <w:rPr>
      <w:rFonts w:eastAsia="Calibri" w:cs="Calibri"/>
      <w:strike/>
      <w:sz w:val="20"/>
      <w:szCs w:val="23"/>
    </w:rPr>
  </w:style>
  <w:style w:type="paragraph" w:customStyle="1" w:styleId="wielopoziom3">
    <w:name w:val="wielopoziom3"/>
    <w:basedOn w:val="wielopoziom2"/>
    <w:qFormat/>
    <w:rsid w:val="0008438D"/>
    <w:pPr>
      <w:numPr>
        <w:ilvl w:val="2"/>
      </w:numPr>
    </w:pPr>
  </w:style>
  <w:style w:type="paragraph" w:styleId="Stopka">
    <w:name w:val="footer"/>
    <w:basedOn w:val="Normalny"/>
    <w:link w:val="StopkaZnak"/>
    <w:unhideWhenUsed/>
    <w:rsid w:val="000843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8438D"/>
  </w:style>
  <w:style w:type="paragraph" w:styleId="Nagwek">
    <w:name w:val="header"/>
    <w:basedOn w:val="Normalny"/>
    <w:link w:val="NagwekZnak"/>
    <w:uiPriority w:val="99"/>
    <w:unhideWhenUsed/>
    <w:rsid w:val="00B75B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B50"/>
  </w:style>
  <w:style w:type="table" w:styleId="Tabela-Siatka">
    <w:name w:val="Table Grid"/>
    <w:basedOn w:val="Standardowy"/>
    <w:uiPriority w:val="59"/>
    <w:rsid w:val="0063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635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Krzysztof Godlewski</cp:lastModifiedBy>
  <cp:revision>2</cp:revision>
  <dcterms:created xsi:type="dcterms:W3CDTF">2019-12-12T11:15:00Z</dcterms:created>
  <dcterms:modified xsi:type="dcterms:W3CDTF">2019-12-13T06:48:00Z</dcterms:modified>
</cp:coreProperties>
</file>