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803DA8" w:rsidRDefault="002A3A96" w:rsidP="0038382C">
      <w:pPr>
        <w:shd w:val="clear" w:color="auto" w:fill="FFFFFF"/>
        <w:tabs>
          <w:tab w:val="left" w:leader="dot" w:pos="9259"/>
          <w:tab w:val="left" w:leader="dot" w:pos="9356"/>
        </w:tabs>
        <w:jc w:val="both"/>
        <w:rPr>
          <w:b/>
          <w:color w:val="000000"/>
          <w:spacing w:val="-1"/>
          <w:sz w:val="22"/>
          <w:szCs w:val="36"/>
        </w:rPr>
      </w:pPr>
      <w:r w:rsidRPr="0038382C">
        <w:rPr>
          <w:rFonts w:cs="Times New Roman"/>
          <w:sz w:val="22"/>
          <w:szCs w:val="22"/>
          <w:lang w:val="pl-PL"/>
        </w:rPr>
        <w:t>Szczegółowa specyfikacja techniczna (SST) stanowi dokument przetargowy i kontraktowy przy</w:t>
      </w:r>
      <w:r w:rsidR="0038382C">
        <w:rPr>
          <w:rFonts w:cs="Times New Roman"/>
          <w:sz w:val="22"/>
          <w:szCs w:val="22"/>
          <w:lang w:val="pl-PL"/>
        </w:rPr>
        <w:t xml:space="preserve"> </w:t>
      </w:r>
      <w:r w:rsidRPr="0038382C">
        <w:rPr>
          <w:rFonts w:cs="Times New Roman"/>
          <w:sz w:val="22"/>
          <w:szCs w:val="22"/>
          <w:lang w:val="pl-PL"/>
        </w:rPr>
        <w:t xml:space="preserve">zlecaniu i realizacji robót podczas </w:t>
      </w:r>
      <w:r w:rsidR="00803DA8" w:rsidRPr="00C85C6F">
        <w:rPr>
          <w:rFonts w:cs="Times New Roman"/>
          <w:b/>
          <w:bCs/>
          <w:sz w:val="22"/>
          <w:szCs w:val="20"/>
        </w:rPr>
        <w:t>remon</w:t>
      </w:r>
      <w:r w:rsidR="00C85C6F" w:rsidRPr="00C85C6F">
        <w:rPr>
          <w:rFonts w:cs="Times New Roman"/>
          <w:b/>
          <w:bCs/>
          <w:sz w:val="22"/>
          <w:szCs w:val="20"/>
        </w:rPr>
        <w:t>tu</w:t>
      </w:r>
      <w:r w:rsidR="00803DA8" w:rsidRPr="00C85C6F">
        <w:rPr>
          <w:rFonts w:cs="Times New Roman"/>
          <w:b/>
          <w:bCs/>
          <w:sz w:val="22"/>
          <w:szCs w:val="20"/>
        </w:rPr>
        <w:t xml:space="preserve"> nawierzchni bitumicznej </w:t>
      </w:r>
      <w:r w:rsidR="00803DA8" w:rsidRPr="00C85C6F">
        <w:rPr>
          <w:rFonts w:cs="Times New Roman"/>
          <w:b/>
          <w:color w:val="000000"/>
          <w:spacing w:val="-1"/>
          <w:sz w:val="22"/>
          <w:szCs w:val="36"/>
        </w:rPr>
        <w:t xml:space="preserve">drogi wojewódzkiej Nr 692, </w:t>
      </w:r>
      <w:r w:rsidR="00C85C6F">
        <w:rPr>
          <w:rFonts w:cs="Times New Roman"/>
          <w:b/>
          <w:color w:val="000000"/>
          <w:spacing w:val="-1"/>
          <w:sz w:val="22"/>
          <w:szCs w:val="36"/>
        </w:rPr>
        <w:t xml:space="preserve">           </w:t>
      </w:r>
      <w:r w:rsidR="00803DA8" w:rsidRPr="00C85C6F">
        <w:rPr>
          <w:rFonts w:cs="Times New Roman"/>
          <w:b/>
          <w:color w:val="000000"/>
          <w:spacing w:val="-1"/>
          <w:sz w:val="22"/>
          <w:szCs w:val="36"/>
        </w:rPr>
        <w:t>w km 0+820-1+810.</w:t>
      </w:r>
      <w:r w:rsidR="00803DA8" w:rsidRPr="00C85C6F">
        <w:rPr>
          <w:b/>
          <w:color w:val="000000"/>
          <w:spacing w:val="-1"/>
          <w:sz w:val="22"/>
          <w:szCs w:val="36"/>
        </w:rPr>
        <w:t xml:space="preserve">        </w:t>
      </w:r>
    </w:p>
    <w:p w:rsidR="00C85C6F" w:rsidRPr="00C85C6F" w:rsidRDefault="00C85C6F" w:rsidP="0038382C">
      <w:pPr>
        <w:shd w:val="clear" w:color="auto" w:fill="FFFFFF"/>
        <w:tabs>
          <w:tab w:val="left" w:leader="dot" w:pos="9259"/>
          <w:tab w:val="left" w:leader="dot" w:pos="9356"/>
        </w:tabs>
        <w:jc w:val="both"/>
        <w:rPr>
          <w:b/>
          <w:szCs w:val="22"/>
        </w:rPr>
      </w:pPr>
      <w:bookmarkStart w:id="0" w:name="_GoBack"/>
      <w:bookmarkEnd w:id="0"/>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38382C"/>
    <w:rsid w:val="004875DB"/>
    <w:rsid w:val="00553AA1"/>
    <w:rsid w:val="005F565F"/>
    <w:rsid w:val="00653B39"/>
    <w:rsid w:val="00803DA8"/>
    <w:rsid w:val="00857A65"/>
    <w:rsid w:val="00886F8E"/>
    <w:rsid w:val="00C85C6F"/>
    <w:rsid w:val="00DB3364"/>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6910</Words>
  <Characters>41461</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16</cp:revision>
  <dcterms:created xsi:type="dcterms:W3CDTF">2016-04-04T08:52:00Z</dcterms:created>
  <dcterms:modified xsi:type="dcterms:W3CDTF">2018-10-04T08:41:00Z</dcterms:modified>
</cp:coreProperties>
</file>