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 WSTĘP</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1.1. Przedmiot SST</w:t>
      </w:r>
    </w:p>
    <w:p w:rsidR="002A3A96" w:rsidRPr="00F81992" w:rsidRDefault="002A3A96" w:rsidP="002A3A96">
      <w:pPr>
        <w:pStyle w:val="Standardowytekst"/>
        <w:rPr>
          <w:rFonts w:ascii="Times New Roman" w:hAnsi="Times New Roman" w:cs="Times New Roman"/>
        </w:rPr>
      </w:pPr>
      <w:r w:rsidRPr="00F81992">
        <w:rPr>
          <w:rFonts w:ascii="Times New Roman" w:hAnsi="Times New Roman" w:cs="Times New Roman"/>
        </w:rPr>
        <w:tab/>
        <w:t>Przedmiotem niniejszej ogólnej specyfikacji technicznej (SST) są wymagania dotyczące wykonania i odbioru oznakowania pionowego.</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1.2. Zakres stosowania SST</w:t>
      </w:r>
    </w:p>
    <w:p w:rsidR="00226DDE" w:rsidRPr="00022E0E" w:rsidRDefault="002A3A96" w:rsidP="00DF589C">
      <w:pPr>
        <w:shd w:val="clear" w:color="auto" w:fill="FFFFFF"/>
        <w:tabs>
          <w:tab w:val="left" w:leader="dot" w:pos="9259"/>
          <w:tab w:val="left" w:leader="dot" w:pos="9356"/>
        </w:tabs>
        <w:jc w:val="both"/>
        <w:rPr>
          <w:rFonts w:ascii="Times New Roman" w:hAnsi="Times New Roman" w:cs="Times New Roman"/>
          <w:b/>
          <w:bCs/>
          <w:sz w:val="22"/>
          <w:szCs w:val="22"/>
        </w:rPr>
      </w:pPr>
      <w:r w:rsidRPr="00F81992">
        <w:rPr>
          <w:rFonts w:ascii="Times New Roman" w:hAnsi="Times New Roman" w:cs="Times New Roman"/>
          <w:sz w:val="22"/>
          <w:szCs w:val="22"/>
          <w:lang w:val="pl-PL"/>
        </w:rPr>
        <w:t xml:space="preserve">Szczegółowa specyfikacja techniczna (SST) stanowi dokument przetargowy i kontraktowy przy </w:t>
      </w:r>
      <w:r w:rsidRPr="00022E0E">
        <w:rPr>
          <w:rFonts w:ascii="Times New Roman" w:hAnsi="Times New Roman" w:cs="Times New Roman"/>
          <w:sz w:val="22"/>
          <w:szCs w:val="22"/>
          <w:lang w:val="pl-PL"/>
        </w:rPr>
        <w:t xml:space="preserve">zlecaniu i realizacji robót podczas </w:t>
      </w:r>
      <w:r w:rsidR="001D21ED" w:rsidRPr="00022E0E">
        <w:rPr>
          <w:rFonts w:ascii="Times New Roman" w:hAnsi="Times New Roman" w:cs="Times New Roman"/>
          <w:b/>
          <w:bCs/>
          <w:sz w:val="22"/>
          <w:szCs w:val="22"/>
        </w:rPr>
        <w:t>remon</w:t>
      </w:r>
      <w:r w:rsidR="00022E0E" w:rsidRPr="00022E0E">
        <w:rPr>
          <w:rFonts w:ascii="Times New Roman" w:hAnsi="Times New Roman" w:cs="Times New Roman"/>
          <w:b/>
          <w:bCs/>
          <w:sz w:val="22"/>
          <w:szCs w:val="22"/>
        </w:rPr>
        <w:t>tu</w:t>
      </w:r>
      <w:r w:rsidR="001D21ED" w:rsidRPr="00022E0E">
        <w:rPr>
          <w:rFonts w:ascii="Times New Roman" w:hAnsi="Times New Roman" w:cs="Times New Roman"/>
          <w:b/>
          <w:bCs/>
          <w:sz w:val="22"/>
          <w:szCs w:val="22"/>
        </w:rPr>
        <w:t xml:space="preserve"> nawierzchni bitumicznej drogi wojewódzkiej Nr 681, </w:t>
      </w:r>
      <w:r w:rsidR="00022E0E" w:rsidRPr="00022E0E">
        <w:rPr>
          <w:rFonts w:ascii="Times New Roman" w:hAnsi="Times New Roman" w:cs="Times New Roman"/>
          <w:b/>
          <w:bCs/>
          <w:sz w:val="22"/>
          <w:szCs w:val="22"/>
        </w:rPr>
        <w:t xml:space="preserve">                     w</w:t>
      </w:r>
      <w:r w:rsidR="001D21ED" w:rsidRPr="00022E0E">
        <w:rPr>
          <w:rFonts w:ascii="Times New Roman" w:hAnsi="Times New Roman" w:cs="Times New Roman"/>
          <w:b/>
          <w:bCs/>
          <w:sz w:val="22"/>
          <w:szCs w:val="22"/>
        </w:rPr>
        <w:t xml:space="preserve"> km 51+700-53+900 na odcinku </w:t>
      </w:r>
      <w:proofErr w:type="spellStart"/>
      <w:r w:rsidR="001D21ED" w:rsidRPr="00022E0E">
        <w:rPr>
          <w:rFonts w:ascii="Times New Roman" w:hAnsi="Times New Roman" w:cs="Times New Roman"/>
          <w:b/>
          <w:bCs/>
          <w:sz w:val="22"/>
          <w:szCs w:val="22"/>
        </w:rPr>
        <w:t>Koce</w:t>
      </w:r>
      <w:proofErr w:type="spellEnd"/>
      <w:r w:rsidR="001D21ED" w:rsidRPr="00022E0E">
        <w:rPr>
          <w:rFonts w:ascii="Times New Roman" w:hAnsi="Times New Roman" w:cs="Times New Roman"/>
          <w:b/>
          <w:bCs/>
          <w:sz w:val="22"/>
          <w:szCs w:val="22"/>
        </w:rPr>
        <w:t xml:space="preserve"> </w:t>
      </w:r>
      <w:proofErr w:type="spellStart"/>
      <w:r w:rsidR="001D21ED" w:rsidRPr="00022E0E">
        <w:rPr>
          <w:rFonts w:ascii="Times New Roman" w:hAnsi="Times New Roman" w:cs="Times New Roman"/>
          <w:b/>
          <w:bCs/>
          <w:sz w:val="22"/>
          <w:szCs w:val="22"/>
        </w:rPr>
        <w:t>Schaby-Koce</w:t>
      </w:r>
      <w:proofErr w:type="spellEnd"/>
      <w:r w:rsidR="001D21ED" w:rsidRPr="00022E0E">
        <w:rPr>
          <w:rFonts w:ascii="Times New Roman" w:hAnsi="Times New Roman" w:cs="Times New Roman"/>
          <w:b/>
          <w:bCs/>
          <w:sz w:val="22"/>
          <w:szCs w:val="22"/>
        </w:rPr>
        <w:t xml:space="preserve"> </w:t>
      </w:r>
      <w:proofErr w:type="spellStart"/>
      <w:r w:rsidR="001D21ED" w:rsidRPr="00022E0E">
        <w:rPr>
          <w:rFonts w:ascii="Times New Roman" w:hAnsi="Times New Roman" w:cs="Times New Roman"/>
          <w:b/>
          <w:bCs/>
          <w:sz w:val="22"/>
          <w:szCs w:val="22"/>
        </w:rPr>
        <w:t>Borowe</w:t>
      </w:r>
      <w:proofErr w:type="spellEnd"/>
      <w:r w:rsidR="001D21ED" w:rsidRPr="00022E0E">
        <w:rPr>
          <w:rFonts w:ascii="Times New Roman" w:hAnsi="Times New Roman" w:cs="Times New Roman"/>
          <w:b/>
          <w:bCs/>
          <w:sz w:val="22"/>
          <w:szCs w:val="22"/>
        </w:rPr>
        <w:t>.</w:t>
      </w:r>
    </w:p>
    <w:p w:rsidR="001D21ED" w:rsidRPr="00F81992" w:rsidRDefault="001D21ED" w:rsidP="00DF589C">
      <w:pPr>
        <w:shd w:val="clear" w:color="auto" w:fill="FFFFFF"/>
        <w:tabs>
          <w:tab w:val="left" w:leader="dot" w:pos="9259"/>
          <w:tab w:val="left" w:leader="dot" w:pos="9356"/>
        </w:tabs>
        <w:jc w:val="both"/>
        <w:rPr>
          <w:rFonts w:ascii="Times New Roman" w:hAnsi="Times New Roman" w:cs="Times New Roman"/>
          <w:sz w:val="22"/>
          <w:szCs w:val="22"/>
          <w:lang w:val="pl-PL"/>
        </w:rPr>
      </w:pPr>
      <w:bookmarkStart w:id="0" w:name="_GoBack"/>
      <w:bookmarkEnd w:id="0"/>
    </w:p>
    <w:p w:rsidR="002A3A96" w:rsidRPr="00F81992" w:rsidRDefault="002A3A96" w:rsidP="002A3A96">
      <w:pPr>
        <w:pStyle w:val="Standardowytekst"/>
        <w:rPr>
          <w:rFonts w:ascii="Times New Roman" w:hAnsi="Times New Roman" w:cs="Times New Roman"/>
          <w:b/>
        </w:rPr>
      </w:pPr>
      <w:r w:rsidRPr="00F81992">
        <w:rPr>
          <w:rFonts w:ascii="Times New Roman" w:hAnsi="Times New Roman" w:cs="Times New Roman"/>
          <w:b/>
        </w:rPr>
        <w:t>1.3. Zakres robót objętych SST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Ustalenia zawarte w niniejszej specyfikacji dotyczą zasad prowadzenia robót związanych z wykonywaniem i odbiorem oznakowania pionowego stosowanego na drogach, w postaci:</w:t>
      </w:r>
    </w:p>
    <w:p w:rsidR="002A3A96" w:rsidRPr="00F81992" w:rsidRDefault="002A3A96" w:rsidP="002A3A96">
      <w:pPr>
        <w:numPr>
          <w:ilvl w:val="0"/>
          <w:numId w:val="9"/>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znaków</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ostrzegawczych</w:t>
      </w:r>
      <w:proofErr w:type="spellEnd"/>
      <w:r w:rsidRPr="00F81992">
        <w:rPr>
          <w:rFonts w:ascii="Times New Roman" w:hAnsi="Times New Roman" w:cs="Times New Roman"/>
          <w:sz w:val="22"/>
          <w:szCs w:val="22"/>
        </w:rPr>
        <w:t>,</w:t>
      </w:r>
    </w:p>
    <w:p w:rsidR="002A3A96" w:rsidRPr="00F81992" w:rsidRDefault="002A3A96" w:rsidP="002A3A96">
      <w:pPr>
        <w:numPr>
          <w:ilvl w:val="0"/>
          <w:numId w:val="9"/>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znaków</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zakazu</w:t>
      </w:r>
      <w:proofErr w:type="spellEnd"/>
      <w:r w:rsidRPr="00F81992">
        <w:rPr>
          <w:rFonts w:ascii="Times New Roman" w:hAnsi="Times New Roman" w:cs="Times New Roman"/>
          <w:sz w:val="22"/>
          <w:szCs w:val="22"/>
        </w:rPr>
        <w:t xml:space="preserve"> i </w:t>
      </w:r>
      <w:proofErr w:type="spellStart"/>
      <w:r w:rsidRPr="00F81992">
        <w:rPr>
          <w:rFonts w:ascii="Times New Roman" w:hAnsi="Times New Roman" w:cs="Times New Roman"/>
          <w:sz w:val="22"/>
          <w:szCs w:val="22"/>
        </w:rPr>
        <w:t>nakazu</w:t>
      </w:r>
      <w:proofErr w:type="spellEnd"/>
      <w:r w:rsidRPr="00F81992">
        <w:rPr>
          <w:rFonts w:ascii="Times New Roman" w:hAnsi="Times New Roman" w:cs="Times New Roman"/>
          <w:sz w:val="22"/>
          <w:szCs w:val="22"/>
        </w:rPr>
        <w:t>,</w:t>
      </w:r>
    </w:p>
    <w:p w:rsidR="002A3A96" w:rsidRPr="00F81992" w:rsidRDefault="002A3A96" w:rsidP="002A3A96">
      <w:pPr>
        <w:numPr>
          <w:ilvl w:val="0"/>
          <w:numId w:val="9"/>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znaków informacyjnych oraz kierunku i miejscowości,</w:t>
      </w:r>
    </w:p>
    <w:p w:rsidR="002A3A96" w:rsidRPr="00F81992" w:rsidRDefault="002A3A96" w:rsidP="002A3A96">
      <w:pPr>
        <w:numPr>
          <w:ilvl w:val="0"/>
          <w:numId w:val="9"/>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znaków uzupełniających i tabliczek do znaków drogowych.</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1.4. Określenia podstawowe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1.4.1. </w:t>
      </w:r>
      <w:r w:rsidRPr="00F81992">
        <w:rPr>
          <w:rFonts w:ascii="Times New Roman" w:hAnsi="Times New Roman" w:cs="Times New Roman"/>
          <w:sz w:val="22"/>
          <w:szCs w:val="22"/>
          <w:lang w:val="pl-PL"/>
        </w:rPr>
        <w:t xml:space="preserve">Stały znak drogowy pionowy - składa się z lica, tarczy z uchwytem montażowym oraz z konstrukcji wsporczej. </w:t>
      </w:r>
    </w:p>
    <w:p w:rsidR="002A3A96" w:rsidRPr="00F81992" w:rsidRDefault="002A3A96" w:rsidP="002A3A96">
      <w:pPr>
        <w:spacing w:before="120"/>
        <w:jc w:val="both"/>
        <w:rPr>
          <w:rFonts w:ascii="Times New Roman" w:hAnsi="Times New Roman" w:cs="Times New Roman"/>
          <w:b/>
          <w:sz w:val="22"/>
          <w:szCs w:val="22"/>
          <w:lang w:val="pl-PL"/>
        </w:rPr>
      </w:pPr>
      <w:r w:rsidRPr="00F81992">
        <w:rPr>
          <w:rFonts w:ascii="Times New Roman" w:hAnsi="Times New Roman" w:cs="Times New Roman"/>
          <w:b/>
          <w:sz w:val="22"/>
          <w:szCs w:val="22"/>
          <w:lang w:val="pl-PL"/>
        </w:rPr>
        <w:t xml:space="preserve">1.4.2. </w:t>
      </w:r>
      <w:r w:rsidRPr="00F81992">
        <w:rPr>
          <w:rFonts w:ascii="Times New Roman" w:hAnsi="Times New Roman" w:cs="Times New Roman"/>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Pr="00F81992">
        <w:rPr>
          <w:rFonts w:ascii="Times New Roman" w:hAnsi="Times New Roman" w:cs="Times New Roman"/>
          <w:b/>
          <w:sz w:val="22"/>
          <w:szCs w:val="22"/>
          <w:lang w:val="pl-PL"/>
        </w:rPr>
        <w:t xml:space="preserve"> </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1.4.3. </w:t>
      </w:r>
      <w:r w:rsidRPr="00F81992">
        <w:rPr>
          <w:rFonts w:ascii="Times New Roman" w:hAnsi="Times New Roman" w:cs="Times New Roman"/>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1.4.4. </w:t>
      </w:r>
      <w:r w:rsidRPr="00F81992">
        <w:rPr>
          <w:rFonts w:ascii="Times New Roman" w:hAnsi="Times New Roman" w:cs="Times New Roman"/>
          <w:sz w:val="22"/>
          <w:szCs w:val="22"/>
          <w:lang w:val="pl-PL"/>
        </w:rPr>
        <w:t>Uchwyt montażowy - element stalowy lub aluminiowy zabezpieczony przed korozją, służący do zamocowania w sposób rozłączny tarczy znaku do konstrukcji wsporczej.</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1.4.5. </w:t>
      </w:r>
      <w:r w:rsidRPr="00F81992">
        <w:rPr>
          <w:rFonts w:ascii="Times New Roman" w:hAnsi="Times New Roman" w:cs="Times New Roman"/>
          <w:sz w:val="22"/>
          <w:szCs w:val="22"/>
          <w:lang w:val="pl-PL"/>
        </w:rPr>
        <w:t xml:space="preserve">Znak drogowy odblaskowy - znak, którego lico wykazuje właściwości odblaskowe (wykonane jest z materiału o odbiciu powrotnym - </w:t>
      </w:r>
      <w:proofErr w:type="spellStart"/>
      <w:r w:rsidRPr="00F81992">
        <w:rPr>
          <w:rFonts w:ascii="Times New Roman" w:hAnsi="Times New Roman" w:cs="Times New Roman"/>
          <w:sz w:val="22"/>
          <w:szCs w:val="22"/>
          <w:lang w:val="pl-PL"/>
        </w:rPr>
        <w:t>współdrożnym</w:t>
      </w:r>
      <w:proofErr w:type="spellEnd"/>
      <w:r w:rsidRPr="00F81992">
        <w:rPr>
          <w:rFonts w:ascii="Times New Roman" w:hAnsi="Times New Roman" w:cs="Times New Roman"/>
          <w:sz w:val="22"/>
          <w:szCs w:val="22"/>
          <w:lang w:val="pl-PL"/>
        </w:rPr>
        <w:t>).</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1.4.6. </w:t>
      </w:r>
      <w:r w:rsidRPr="00F81992">
        <w:rPr>
          <w:rFonts w:ascii="Times New Roman" w:hAnsi="Times New Roman" w:cs="Times New Roman"/>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1.4.7 </w:t>
      </w:r>
      <w:r w:rsidRPr="00F81992">
        <w:rPr>
          <w:rFonts w:ascii="Times New Roman" w:hAnsi="Times New Roman" w:cs="Times New Roman"/>
          <w:sz w:val="22"/>
          <w:szCs w:val="22"/>
          <w:lang w:val="pl-PL"/>
        </w:rPr>
        <w:t>Znak drogowy podświetlany - znak, w którym wewnętrzne źródło światła jest umieszczone pod przejrzystym licem znaku.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1.4.8 </w:t>
      </w:r>
      <w:r w:rsidRPr="00F81992">
        <w:rPr>
          <w:rFonts w:ascii="Times New Roman" w:hAnsi="Times New Roman" w:cs="Times New Roman"/>
          <w:sz w:val="22"/>
          <w:szCs w:val="22"/>
          <w:lang w:val="pl-PL"/>
        </w:rPr>
        <w:t>Znak drogowy oświetlany - znak, którego lico jest oświetlane źródłem światła umieszczonym na zewnątrz znaku.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1.4.9 </w:t>
      </w:r>
      <w:r w:rsidRPr="00F81992">
        <w:rPr>
          <w:rFonts w:ascii="Times New Roman" w:hAnsi="Times New Roman" w:cs="Times New Roman"/>
          <w:sz w:val="22"/>
          <w:szCs w:val="22"/>
          <w:lang w:val="pl-PL"/>
        </w:rPr>
        <w:t>Znak nowy - znak użytkowany (ustawiony na drodze) lub magazynowany w okresie do 3 miesięcy od daty produkcji.</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lastRenderedPageBreak/>
        <w:t xml:space="preserve">1.4.10 </w:t>
      </w:r>
      <w:r w:rsidRPr="00F81992">
        <w:rPr>
          <w:rFonts w:ascii="Times New Roman" w:hAnsi="Times New Roman" w:cs="Times New Roman"/>
          <w:sz w:val="22"/>
          <w:szCs w:val="22"/>
          <w:lang w:val="pl-PL"/>
        </w:rPr>
        <w:t>Znak użytkowany (eksploatowany) - znak ustawiony na drodze lub magazynowany przez okres dłuższy niż 3 miesiące od daty produkcji.</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1.4.11 </w:t>
      </w:r>
      <w:r w:rsidRPr="00F81992">
        <w:rPr>
          <w:rFonts w:ascii="Times New Roman" w:hAnsi="Times New Roman" w:cs="Times New Roman"/>
          <w:sz w:val="22"/>
          <w:szCs w:val="22"/>
          <w:lang w:val="pl-PL"/>
        </w:rPr>
        <w:t xml:space="preserve">Pozostałe określenia podstawowe są zgodne z obowiązującymi, odpowiednimi polskimi normami i z definicjami podanymi w SST D-M-00.00.00 „Wymagania ogólne” pkt 1.4. </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1.5. Ogólne wymagania dotyczące robót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Ogólne wymagania dotyczące robót podano w SST D-M-00.00.00 „Wymagania ogólne” pkt 1.5. </w:t>
      </w:r>
    </w:p>
    <w:p w:rsidR="002A3A96" w:rsidRPr="00F81992" w:rsidRDefault="002A3A96" w:rsidP="002A3A96">
      <w:pPr>
        <w:pStyle w:val="Nagwek1"/>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 materiały</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2.1. Ogólne wymagania dotyczące materiałów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Ogólne wymagania dotyczące materiałów, ich pozyskiwania i składowania podano w SST D-M-00.00.00 „Wymagania ogólne” pkt 2.</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2.2. Dopuszczenie do stosowania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2.3. Materiały stosowane do fundamentów znaków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Fundamenty dla zamocowania konstrukcji wsporczych znaków mogą być wykonywane jako:</w:t>
      </w:r>
    </w:p>
    <w:p w:rsidR="002A3A96" w:rsidRPr="00F81992" w:rsidRDefault="002A3A96" w:rsidP="002A3A96">
      <w:pPr>
        <w:numPr>
          <w:ilvl w:val="0"/>
          <w:numId w:val="9"/>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prefabrykaty</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betonowe</w:t>
      </w:r>
      <w:proofErr w:type="spellEnd"/>
      <w:r w:rsidRPr="00F81992">
        <w:rPr>
          <w:rFonts w:ascii="Times New Roman" w:hAnsi="Times New Roman" w:cs="Times New Roman"/>
          <w:sz w:val="22"/>
          <w:szCs w:val="22"/>
        </w:rPr>
        <w:t>,</w:t>
      </w:r>
    </w:p>
    <w:p w:rsidR="002A3A96" w:rsidRPr="00F81992" w:rsidRDefault="002A3A96" w:rsidP="002A3A96">
      <w:pPr>
        <w:numPr>
          <w:ilvl w:val="0"/>
          <w:numId w:val="9"/>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 betonu wykonywanego „na mokro”,</w:t>
      </w:r>
    </w:p>
    <w:p w:rsidR="002A3A96" w:rsidRPr="00F81992" w:rsidRDefault="002A3A96" w:rsidP="002A3A96">
      <w:pPr>
        <w:numPr>
          <w:ilvl w:val="0"/>
          <w:numId w:val="9"/>
        </w:numPr>
        <w:overflowPunct w:val="0"/>
        <w:autoSpaceDE w:val="0"/>
        <w:jc w:val="both"/>
        <w:rPr>
          <w:rFonts w:ascii="Times New Roman" w:hAnsi="Times New Roman" w:cs="Times New Roman"/>
          <w:sz w:val="22"/>
          <w:szCs w:val="22"/>
        </w:rPr>
      </w:pPr>
      <w:r w:rsidRPr="00F81992">
        <w:rPr>
          <w:rFonts w:ascii="Times New Roman" w:hAnsi="Times New Roman" w:cs="Times New Roman"/>
          <w:sz w:val="22"/>
          <w:szCs w:val="22"/>
        </w:rPr>
        <w:t xml:space="preserve">z </w:t>
      </w:r>
      <w:proofErr w:type="spellStart"/>
      <w:r w:rsidRPr="00F81992">
        <w:rPr>
          <w:rFonts w:ascii="Times New Roman" w:hAnsi="Times New Roman" w:cs="Times New Roman"/>
          <w:sz w:val="22"/>
          <w:szCs w:val="22"/>
        </w:rPr>
        <w:t>betonu</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zbrojonego</w:t>
      </w:r>
      <w:proofErr w:type="spellEnd"/>
      <w:r w:rsidRPr="00F81992">
        <w:rPr>
          <w:rFonts w:ascii="Times New Roman" w:hAnsi="Times New Roman" w:cs="Times New Roman"/>
          <w:sz w:val="22"/>
          <w:szCs w:val="22"/>
        </w:rPr>
        <w:t>,</w:t>
      </w:r>
    </w:p>
    <w:p w:rsidR="002A3A96" w:rsidRPr="00F81992" w:rsidRDefault="002A3A96" w:rsidP="002A3A96">
      <w:pPr>
        <w:numPr>
          <w:ilvl w:val="0"/>
          <w:numId w:val="9"/>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inne rozwiązania zaakceptowane przez Inżyniera.</w:t>
      </w:r>
    </w:p>
    <w:p w:rsidR="002A3A96" w:rsidRPr="00F81992" w:rsidRDefault="002A3A96" w:rsidP="002A3A96">
      <w:pPr>
        <w:pStyle w:val="Wypunktowanie"/>
        <w:ind w:left="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Dla fundamentów należy opracować dokumentację techniczną zgodną z obowiązującymi przepisami.</w:t>
      </w:r>
    </w:p>
    <w:p w:rsidR="002A3A96" w:rsidRPr="00F81992" w:rsidRDefault="002A3A96" w:rsidP="002A3A96">
      <w:pPr>
        <w:pStyle w:val="Tekstpodstawowy32"/>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2.4. Konstrukcje wsporcze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2.4.1. </w:t>
      </w:r>
      <w:r w:rsidRPr="00F81992">
        <w:rPr>
          <w:rFonts w:ascii="Times New Roman" w:hAnsi="Times New Roman" w:cs="Times New Roman"/>
          <w:sz w:val="22"/>
          <w:szCs w:val="22"/>
          <w:lang w:val="pl-PL"/>
        </w:rPr>
        <w:t>Ogólne charakterystyki konstrukcji</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Konstrukcje wsporcze do znaków i tablic należy zaprojektować i wykonać w sposób</w:t>
      </w:r>
      <w:r w:rsidRPr="00F81992">
        <w:rPr>
          <w:rFonts w:ascii="Times New Roman" w:hAnsi="Times New Roman" w:cs="Times New Roman"/>
          <w:b/>
          <w:sz w:val="22"/>
          <w:szCs w:val="22"/>
          <w:lang w:val="pl-PL"/>
        </w:rPr>
        <w:t xml:space="preserve"> </w:t>
      </w:r>
      <w:r w:rsidRPr="00F81992">
        <w:rPr>
          <w:rFonts w:ascii="Times New Roman" w:hAnsi="Times New Roman" w:cs="Times New Roman"/>
          <w:sz w:val="22"/>
          <w:szCs w:val="22"/>
          <w:lang w:val="pl-PL"/>
        </w:rPr>
        <w:t>gwarantujący stabilne</w:t>
      </w:r>
      <w:r w:rsidRPr="00F81992">
        <w:rPr>
          <w:rFonts w:ascii="Times New Roman" w:hAnsi="Times New Roman" w:cs="Times New Roman"/>
          <w:b/>
          <w:sz w:val="22"/>
          <w:szCs w:val="22"/>
          <w:lang w:val="pl-PL"/>
        </w:rPr>
        <w:t xml:space="preserve"> </w:t>
      </w:r>
      <w:r w:rsidRPr="00F81992">
        <w:rPr>
          <w:rFonts w:ascii="Times New Roman" w:hAnsi="Times New Roman" w:cs="Times New Roman"/>
          <w:sz w:val="22"/>
          <w:szCs w:val="22"/>
          <w:lang w:val="pl-PL"/>
        </w:rPr>
        <w:t>i</w:t>
      </w:r>
      <w:r w:rsidRPr="00F81992">
        <w:rPr>
          <w:rFonts w:ascii="Times New Roman" w:hAnsi="Times New Roman" w:cs="Times New Roman"/>
          <w:b/>
          <w:sz w:val="22"/>
          <w:szCs w:val="22"/>
          <w:lang w:val="pl-PL"/>
        </w:rPr>
        <w:t xml:space="preserve"> </w:t>
      </w:r>
      <w:r w:rsidRPr="00F81992">
        <w:rPr>
          <w:rFonts w:ascii="Times New Roman" w:hAnsi="Times New Roman" w:cs="Times New Roman"/>
          <w:sz w:val="22"/>
          <w:szCs w:val="22"/>
          <w:lang w:val="pl-PL"/>
        </w:rPr>
        <w:t xml:space="preserve">prawidłowe ustawienie w pasie drogowym. </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t>
      </w:r>
      <w:r w:rsidRPr="00F81992">
        <w:rPr>
          <w:rFonts w:ascii="Times New Roman" w:hAnsi="Times New Roman" w:cs="Times New Roman"/>
          <w:sz w:val="22"/>
          <w:szCs w:val="22"/>
          <w:lang w:val="pl-PL"/>
        </w:rPr>
        <w:lastRenderedPageBreak/>
        <w:t xml:space="preserve">W takich przypadkach należy stosować konstrukcje zabezpieczające bierne bezpieczeństwo kategorii HE, zgodne z PN-EN 12 767:2003 [15]. </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Wyróżnia się trzy kategorie biernego bezpieczeństwa dla konstrukcji wsporczych:</w:t>
      </w:r>
    </w:p>
    <w:p w:rsidR="002A3A96" w:rsidRPr="00F81992" w:rsidRDefault="002A3A96" w:rsidP="002A3A96">
      <w:pPr>
        <w:numPr>
          <w:ilvl w:val="0"/>
          <w:numId w:val="7"/>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pochłaniająca energię w wysokim stopniu (HE),</w:t>
      </w:r>
    </w:p>
    <w:p w:rsidR="002A3A96" w:rsidRPr="00F81992" w:rsidRDefault="002A3A96" w:rsidP="002A3A96">
      <w:pPr>
        <w:numPr>
          <w:ilvl w:val="0"/>
          <w:numId w:val="7"/>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pochłaniająca energię w niskim stopniu (LE),</w:t>
      </w:r>
    </w:p>
    <w:p w:rsidR="002A3A96" w:rsidRPr="00F81992" w:rsidRDefault="002A3A96" w:rsidP="002A3A96">
      <w:pPr>
        <w:numPr>
          <w:ilvl w:val="0"/>
          <w:numId w:val="7"/>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nie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pochłaniająca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energii</w:t>
      </w:r>
      <w:proofErr w:type="spellEnd"/>
      <w:r w:rsidRPr="00F81992">
        <w:rPr>
          <w:rFonts w:ascii="Times New Roman" w:hAnsi="Times New Roman" w:cs="Times New Roman"/>
          <w:sz w:val="22"/>
          <w:szCs w:val="22"/>
        </w:rPr>
        <w:t xml:space="preserve"> (NE).</w:t>
      </w:r>
    </w:p>
    <w:p w:rsidR="002A3A96" w:rsidRPr="00F81992" w:rsidRDefault="002A3A96" w:rsidP="002A3A96">
      <w:pPr>
        <w:spacing w:before="120"/>
        <w:jc w:val="both"/>
        <w:rPr>
          <w:rFonts w:ascii="Times New Roman" w:hAnsi="Times New Roman" w:cs="Times New Roman"/>
          <w:sz w:val="22"/>
          <w:szCs w:val="22"/>
        </w:rPr>
      </w:pPr>
      <w:r w:rsidRPr="00F81992">
        <w:rPr>
          <w:rFonts w:ascii="Times New Roman" w:hAnsi="Times New Roman" w:cs="Times New Roman"/>
          <w:b/>
          <w:sz w:val="22"/>
          <w:szCs w:val="22"/>
        </w:rPr>
        <w:t xml:space="preserve">2.4.2. </w:t>
      </w:r>
      <w:proofErr w:type="spellStart"/>
      <w:r w:rsidRPr="00F81992">
        <w:rPr>
          <w:rFonts w:ascii="Times New Roman" w:hAnsi="Times New Roman" w:cs="Times New Roman"/>
          <w:sz w:val="22"/>
          <w:szCs w:val="22"/>
        </w:rPr>
        <w:t>Rury</w:t>
      </w:r>
      <w:proofErr w:type="spellEnd"/>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Rury powinny odpowiadać wymaganiom PN-H-74200:1998, [22], PN-84/H-74220 [3] lub innej normy zaakceptowanej przez Inżyniera.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Końce rur powinny być obcięte równo i prostopadle do osi rury.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Pożądane jest, aby rury były dostarczane o długościach:</w:t>
      </w:r>
    </w:p>
    <w:p w:rsidR="002A3A96" w:rsidRPr="00F81992" w:rsidRDefault="002A3A96" w:rsidP="002A3A96">
      <w:pPr>
        <w:numPr>
          <w:ilvl w:val="0"/>
          <w:numId w:val="10"/>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dokładnych, zgodnych z zamówieniem; z dopuszczalną odchyłką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10 mm,</w:t>
      </w:r>
    </w:p>
    <w:p w:rsidR="002A3A96" w:rsidRPr="00F81992" w:rsidRDefault="002A3A96" w:rsidP="002A3A96">
      <w:pPr>
        <w:numPr>
          <w:ilvl w:val="0"/>
          <w:numId w:val="10"/>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Rury powinny być proste. Dopuszczalna miejscowa krzywizna nie powinna przekraczać 1,5 mm na 1 m długości rury.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Rury powinny być wykonane ze stali w gatunkach dopuszczonych przez PN-H-84023.07 [5], lub inne normy. </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Rury powinny być dostarczone bez opakowania w wiązkach lub luzem względnie w opakowaniu uzgodnionym z Zamawiającym. Rury powinny być cechowane indywidualnie lub na przywieszkach metalowych.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2.4.3. </w:t>
      </w:r>
      <w:r w:rsidRPr="00F81992">
        <w:rPr>
          <w:rFonts w:ascii="Times New Roman" w:hAnsi="Times New Roman" w:cs="Times New Roman"/>
          <w:sz w:val="22"/>
          <w:szCs w:val="22"/>
          <w:lang w:val="pl-PL"/>
        </w:rPr>
        <w:t>Kształtowniki</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Kształtowniki powinny być ze stali St3W lub St4W oraz mieć własności mechaniczne według aktualnej normy uzgodnionej pomiędzy Zamawiającym i wytwórcą.</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2.4.4. </w:t>
      </w:r>
      <w:r w:rsidRPr="00F81992">
        <w:rPr>
          <w:rFonts w:ascii="Times New Roman" w:hAnsi="Times New Roman" w:cs="Times New Roman"/>
          <w:sz w:val="22"/>
          <w:szCs w:val="22"/>
          <w:lang w:val="pl-PL"/>
        </w:rPr>
        <w:t>Powłoki metalizacyjne cynkowe</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Powierzchnia powłoki powinna być ciągła i jednorodna pod względem ziarnistości. Nie może ona wykazywać widocznych wad jak rysy, pęknięcia, pęcherze lub odstawanie powłoki od podłoża.</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2.4.5. </w:t>
      </w:r>
      <w:r w:rsidRPr="00F81992">
        <w:rPr>
          <w:rFonts w:ascii="Times New Roman" w:hAnsi="Times New Roman" w:cs="Times New Roman"/>
          <w:sz w:val="22"/>
          <w:szCs w:val="22"/>
          <w:lang w:val="pl-PL"/>
        </w:rPr>
        <w:t>Gwarancja producenta lub dostawcy na konstrukcję wsporczą</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2.5. Tarcza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2.5.1. </w:t>
      </w:r>
      <w:r w:rsidRPr="00F81992">
        <w:rPr>
          <w:rFonts w:ascii="Times New Roman" w:hAnsi="Times New Roman" w:cs="Times New Roman"/>
          <w:sz w:val="22"/>
          <w:szCs w:val="22"/>
          <w:lang w:val="pl-PL"/>
        </w:rPr>
        <w:t>Trwałość materiałów na wpływy zewnętrzne</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2.5.2. </w:t>
      </w:r>
      <w:r w:rsidRPr="00F81992">
        <w:rPr>
          <w:rFonts w:ascii="Times New Roman" w:hAnsi="Times New Roman" w:cs="Times New Roman"/>
          <w:sz w:val="22"/>
          <w:szCs w:val="22"/>
          <w:lang w:val="pl-PL"/>
        </w:rPr>
        <w:t>Warunki gwarancyjne producenta lub dostawcy znaku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Producent lub dostawca znaku obowiązany jest przy dostawie określić, uzgodnioną z odbiorcą, trwałość znaku oraz warunki gwarancyjne dla znaku, a także udostępnić na życzenie odbiorcy:</w:t>
      </w:r>
    </w:p>
    <w:p w:rsidR="002A3A96" w:rsidRPr="00F81992" w:rsidRDefault="002A3A96" w:rsidP="002A3A96">
      <w:pPr>
        <w:numPr>
          <w:ilvl w:val="0"/>
          <w:numId w:val="12"/>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instrukcję</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montażu</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znaku</w:t>
      </w:r>
      <w:proofErr w:type="spellEnd"/>
      <w:r w:rsidRPr="00F81992">
        <w:rPr>
          <w:rFonts w:ascii="Times New Roman" w:hAnsi="Times New Roman" w:cs="Times New Roman"/>
          <w:sz w:val="22"/>
          <w:szCs w:val="22"/>
        </w:rPr>
        <w:t>,</w:t>
      </w:r>
    </w:p>
    <w:p w:rsidR="002A3A96" w:rsidRPr="00F81992" w:rsidRDefault="002A3A96" w:rsidP="002A3A96">
      <w:pPr>
        <w:numPr>
          <w:ilvl w:val="0"/>
          <w:numId w:val="12"/>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dane szczegółowe o ewentualnych ograniczeniach w stosowaniu znaku,</w:t>
      </w:r>
    </w:p>
    <w:p w:rsidR="002A3A96" w:rsidRPr="00F81992" w:rsidRDefault="002A3A96" w:rsidP="002A3A96">
      <w:pPr>
        <w:numPr>
          <w:ilvl w:val="0"/>
          <w:numId w:val="12"/>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instrukcję</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utrzymania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znaku</w:t>
      </w:r>
      <w:proofErr w:type="spellEnd"/>
      <w:r w:rsidRPr="00F81992">
        <w:rPr>
          <w:rFonts w:ascii="Times New Roman" w:hAnsi="Times New Roman" w:cs="Times New Roman"/>
          <w:sz w:val="22"/>
          <w:szCs w:val="22"/>
        </w:rPr>
        <w:t>.</w:t>
      </w:r>
    </w:p>
    <w:p w:rsidR="002A3A96" w:rsidRPr="00F81992" w:rsidRDefault="002A3A96" w:rsidP="002A3A96">
      <w:pPr>
        <w:pStyle w:val="Tekstprzypisudolnego"/>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Pr="00F81992" w:rsidRDefault="002A3A96" w:rsidP="002A3A96">
      <w:pPr>
        <w:keepNext/>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2.5.3. </w:t>
      </w:r>
      <w:r w:rsidRPr="00F81992">
        <w:rPr>
          <w:rFonts w:ascii="Times New Roman" w:hAnsi="Times New Roman" w:cs="Times New Roman"/>
          <w:sz w:val="22"/>
          <w:szCs w:val="22"/>
          <w:lang w:val="pl-PL"/>
        </w:rPr>
        <w:t>Materiały do wykonania tarczy znaku</w:t>
      </w:r>
    </w:p>
    <w:p w:rsidR="002A3A96" w:rsidRPr="00F81992" w:rsidRDefault="002A3A96" w:rsidP="002A3A96">
      <w:pPr>
        <w:pStyle w:val="Tekstprzypisudolnego"/>
        <w:rPr>
          <w:rFonts w:ascii="Times New Roman" w:hAnsi="Times New Roman" w:cs="Times New Roman"/>
          <w:sz w:val="22"/>
          <w:szCs w:val="22"/>
          <w:lang w:val="pl-PL"/>
        </w:rPr>
      </w:pPr>
    </w:p>
    <w:p w:rsidR="002A3A96" w:rsidRPr="00F81992" w:rsidRDefault="002A3A96" w:rsidP="002A3A96">
      <w:pPr>
        <w:widowControl w:val="0"/>
        <w:tabs>
          <w:tab w:val="left" w:pos="0"/>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Tarcza znaku powinna być wykonana z :</w:t>
      </w:r>
    </w:p>
    <w:p w:rsidR="002A3A96" w:rsidRPr="00F81992" w:rsidRDefault="002A3A96" w:rsidP="002A3A96">
      <w:pPr>
        <w:pStyle w:val="Wypunktowanie"/>
        <w:numPr>
          <w:ilvl w:val="0"/>
          <w:numId w:val="4"/>
        </w:numPr>
        <w:tabs>
          <w:tab w:val="left" w:pos="-2835"/>
          <w:tab w:val="left" w:pos="284"/>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blachy ocynkowanej ogniowo o grubości min. 1,25 mm wg PN-EN 10327:2005(U) [14] lub PN-EN 10292:2003/A1:2004/A1:2005(U) [13], </w:t>
      </w:r>
    </w:p>
    <w:p w:rsidR="002A3A96" w:rsidRPr="00F81992" w:rsidRDefault="002A3A96" w:rsidP="002A3A96">
      <w:pPr>
        <w:pStyle w:val="Wypunktowanie"/>
        <w:numPr>
          <w:ilvl w:val="0"/>
          <w:numId w:val="4"/>
        </w:numPr>
        <w:tabs>
          <w:tab w:val="left" w:pos="-2694"/>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blachy aluminiowej o grubości min. 1,5 m wg PN-EN 485-4:1997 [10],</w:t>
      </w:r>
    </w:p>
    <w:p w:rsidR="002A3A96" w:rsidRPr="00F81992" w:rsidRDefault="002A3A96" w:rsidP="002A3A96">
      <w:pPr>
        <w:pStyle w:val="Wypunktowanie"/>
        <w:numPr>
          <w:ilvl w:val="0"/>
          <w:numId w:val="4"/>
        </w:numPr>
        <w:tabs>
          <w:tab w:val="left" w:pos="0"/>
          <w:tab w:val="left" w:pos="284"/>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innych materiałów, np. tworzyw syntetycznych, pod warunkiem uzyskania przez producenta aprobaty technicznej.</w:t>
      </w:r>
    </w:p>
    <w:p w:rsidR="002A3A96" w:rsidRPr="00F81992" w:rsidRDefault="002A3A96" w:rsidP="002A3A96">
      <w:pPr>
        <w:widowControl w:val="0"/>
        <w:tabs>
          <w:tab w:val="left" w:pos="0"/>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Tarcza tablicy o powierzchni &gt; 1 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powinna być wykonana z :</w:t>
      </w:r>
    </w:p>
    <w:p w:rsidR="002A3A96" w:rsidRPr="00F81992" w:rsidRDefault="002A3A96" w:rsidP="002A3A96">
      <w:pPr>
        <w:pStyle w:val="Wypunktowanie"/>
        <w:numPr>
          <w:ilvl w:val="0"/>
          <w:numId w:val="4"/>
        </w:numPr>
        <w:tabs>
          <w:tab w:val="left" w:pos="284"/>
          <w:tab w:val="left" w:pos="426"/>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blachy ocynkowanej ogniowo o grubości min. 1,5 mm wg PN-EN 10327:2005 (U) [14] lub PN-EN 10292:2003/ A1:2004/A1:2005(U) [13] lub z</w:t>
      </w:r>
    </w:p>
    <w:p w:rsidR="002A3A96" w:rsidRPr="00F81992" w:rsidRDefault="002A3A96" w:rsidP="002A3A96">
      <w:pPr>
        <w:pStyle w:val="Wypunktowanie"/>
        <w:numPr>
          <w:ilvl w:val="0"/>
          <w:numId w:val="4"/>
        </w:numPr>
        <w:tabs>
          <w:tab w:val="left" w:pos="0"/>
          <w:tab w:val="left" w:pos="426"/>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blachy aluminiowej o grubości min. 2 mm wg PN-EN 485-4:1997 [10].</w:t>
      </w:r>
    </w:p>
    <w:p w:rsidR="002A3A96" w:rsidRPr="00F81992" w:rsidRDefault="002A3A96" w:rsidP="002A3A96">
      <w:pPr>
        <w:pStyle w:val="Wypunktowanie"/>
        <w:tabs>
          <w:tab w:val="left" w:pos="0"/>
        </w:tabs>
        <w:ind w:left="0"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Grubość warstwy powłoki cynkowej na blasze stalowej ocynkowanej ogniowo nie może być mniejsza niż 28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m (200 g Zn/m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w:t>
      </w:r>
    </w:p>
    <w:p w:rsidR="002A3A96" w:rsidRPr="00F81992" w:rsidRDefault="002A3A96" w:rsidP="002A3A96">
      <w:pPr>
        <w:tabs>
          <w:tab w:val="left" w:pos="0"/>
        </w:tabs>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Znaki i tablice powinny spełniać następujące wymagania podane w tablicy 1.</w:t>
      </w:r>
    </w:p>
    <w:p w:rsidR="002A3A96" w:rsidRPr="00F81992" w:rsidRDefault="002A3A96" w:rsidP="002A3A96">
      <w:pPr>
        <w:pageBreakBefore/>
        <w:spacing w:before="120" w:after="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Przyjęto zgodnie z tablicą 1, że przy sile naporu wiatru równej 0,6 </w:t>
      </w:r>
      <w:proofErr w:type="spellStart"/>
      <w:r w:rsidRPr="00F81992">
        <w:rPr>
          <w:rFonts w:ascii="Times New Roman" w:hAnsi="Times New Roman" w:cs="Times New Roman"/>
          <w:sz w:val="22"/>
          <w:szCs w:val="22"/>
          <w:lang w:val="pl-PL"/>
        </w:rPr>
        <w:t>kN</w:t>
      </w:r>
      <w:proofErr w:type="spellEnd"/>
      <w:r w:rsidRPr="00F81992">
        <w:rPr>
          <w:rFonts w:ascii="Times New Roman" w:hAnsi="Times New Roman" w:cs="Times New Roman"/>
          <w:sz w:val="22"/>
          <w:szCs w:val="22"/>
          <w:lang w:val="pl-PL"/>
        </w:rPr>
        <w:t xml:space="preserve"> (klasa WL2), chwilowe odkształcenie zginające, zarówno znak, jak i samą tarczę znaku nie może być większe niż 25 mm/m (klasa TDB4).</w:t>
      </w:r>
    </w:p>
    <w:p w:rsidR="002A3A96" w:rsidRPr="00F81992" w:rsidRDefault="002A3A96" w:rsidP="002A3A96">
      <w:pPr>
        <w:spacing w:before="120" w:after="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2.5.4. </w:t>
      </w:r>
      <w:r w:rsidRPr="00F81992">
        <w:rPr>
          <w:rFonts w:ascii="Times New Roman" w:hAnsi="Times New Roman" w:cs="Times New Roman"/>
          <w:sz w:val="22"/>
          <w:szCs w:val="22"/>
          <w:lang w:val="pl-PL"/>
        </w:rPr>
        <w:t>Warunki wykonania tarczy znaku</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Tarcze znaków powinny spełniać także następujące wymagania:</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rPr>
      </w:pPr>
      <w:r w:rsidRPr="00F81992">
        <w:rPr>
          <w:rFonts w:ascii="Times New Roman" w:hAnsi="Times New Roman" w:cs="Times New Roman"/>
          <w:sz w:val="22"/>
          <w:szCs w:val="22"/>
          <w:lang w:val="pl-PL"/>
        </w:rPr>
        <w:t xml:space="preserve">powierzchnia czołowa tarczy znaku powinna być równa – bez wgięć, pofałdowań i otworów montażowych. </w:t>
      </w:r>
      <w:proofErr w:type="spellStart"/>
      <w:r w:rsidRPr="00F81992">
        <w:rPr>
          <w:rFonts w:ascii="Times New Roman" w:hAnsi="Times New Roman" w:cs="Times New Roman"/>
          <w:sz w:val="22"/>
          <w:szCs w:val="22"/>
        </w:rPr>
        <w:t>Dopuszczalna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nierówność</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wynosi</w:t>
      </w:r>
      <w:proofErr w:type="spellEnd"/>
      <w:r w:rsidRPr="00F81992">
        <w:rPr>
          <w:rFonts w:ascii="Times New Roman" w:hAnsi="Times New Roman" w:cs="Times New Roman"/>
          <w:sz w:val="22"/>
          <w:szCs w:val="22"/>
        </w:rPr>
        <w:t xml:space="preserve"> 1 mm/m,</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Tarcze znaków i tablic o powierzchni &gt; 1 m</w:t>
      </w:r>
      <w:r w:rsidRPr="00F81992">
        <w:rPr>
          <w:rFonts w:ascii="Times New Roman" w:hAnsi="Times New Roman" w:cs="Times New Roman"/>
          <w:sz w:val="22"/>
          <w:szCs w:val="22"/>
          <w:vertAlign w:val="superscript"/>
          <w:lang w:val="pl-PL"/>
        </w:rPr>
        <w:t xml:space="preserve">2 </w:t>
      </w:r>
      <w:r w:rsidRPr="00F81992">
        <w:rPr>
          <w:rFonts w:ascii="Times New Roman" w:hAnsi="Times New Roman" w:cs="Times New Roman"/>
          <w:sz w:val="22"/>
          <w:szCs w:val="22"/>
          <w:lang w:val="pl-PL"/>
        </w:rPr>
        <w:t>powinny spełniać dodatkowo następujące wymagania:</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2.6. Znaki odblaskowe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2.6.1. </w:t>
      </w:r>
      <w:r w:rsidRPr="00F81992">
        <w:rPr>
          <w:rFonts w:ascii="Times New Roman" w:hAnsi="Times New Roman" w:cs="Times New Roman"/>
          <w:sz w:val="22"/>
          <w:szCs w:val="22"/>
          <w:lang w:val="pl-PL"/>
        </w:rPr>
        <w:t>Wymagania dotyczące powierzchni odblaskowej</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Folia odblaskowa (odbijająca powrotnie) powinna spełniać wymagania określone w aprobacie technicznej .</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Lico znaku powinno być wykonane z:</w:t>
      </w:r>
    </w:p>
    <w:p w:rsidR="002A3A96" w:rsidRPr="00F81992" w:rsidRDefault="002A3A96" w:rsidP="002A3A96">
      <w:pPr>
        <w:widowControl w:val="0"/>
        <w:numPr>
          <w:ilvl w:val="0"/>
          <w:numId w:val="8"/>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Pr="00F81992" w:rsidRDefault="002A3A96" w:rsidP="002A3A96">
      <w:pPr>
        <w:pStyle w:val="Tekstpodstawowywcity31"/>
        <w:widowControl w:val="0"/>
        <w:numPr>
          <w:ilvl w:val="0"/>
          <w:numId w:val="8"/>
        </w:numPr>
        <w:rPr>
          <w:rFonts w:ascii="Times New Roman" w:hAnsi="Times New Roman" w:cs="Times New Roman"/>
          <w:sz w:val="22"/>
          <w:szCs w:val="22"/>
          <w:lang w:val="pl-PL"/>
        </w:rPr>
      </w:pPr>
      <w:r w:rsidRPr="00F81992">
        <w:rPr>
          <w:rFonts w:ascii="Times New Roman" w:hAnsi="Times New Roman" w:cs="Times New Roman"/>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Pr="00F81992" w:rsidRDefault="002A3A96" w:rsidP="002A3A96">
      <w:pPr>
        <w:pStyle w:val="Tekstpodstawowywcity31"/>
        <w:widowControl w:val="0"/>
        <w:numPr>
          <w:ilvl w:val="0"/>
          <w:numId w:val="8"/>
        </w:numPr>
        <w:rPr>
          <w:rFonts w:ascii="Times New Roman" w:hAnsi="Times New Roman" w:cs="Times New Roman"/>
          <w:sz w:val="22"/>
          <w:szCs w:val="22"/>
          <w:lang w:val="pl-PL"/>
        </w:rPr>
      </w:pPr>
      <w:r w:rsidRPr="00F81992">
        <w:rPr>
          <w:rFonts w:ascii="Times New Roman" w:hAnsi="Times New Roman" w:cs="Times New Roman"/>
          <w:sz w:val="22"/>
          <w:szCs w:val="22"/>
          <w:lang w:val="pl-PL"/>
        </w:rPr>
        <w:t>dopuszcza się wycinanie kształtów z folii 2 i 3 typu pod warunkiem zabezpieczenia ich krawędzi lakierem zalecanym przez producenta folii,</w:t>
      </w:r>
    </w:p>
    <w:p w:rsidR="002A3A96" w:rsidRPr="00F81992" w:rsidRDefault="002A3A96" w:rsidP="002A3A96">
      <w:pPr>
        <w:pStyle w:val="Nagwek"/>
        <w:numPr>
          <w:ilvl w:val="0"/>
          <w:numId w:val="8"/>
        </w:numPr>
        <w:tabs>
          <w:tab w:val="left" w:pos="709"/>
        </w:tabs>
        <w:overflowPunct w:val="0"/>
        <w:autoSpaceDE w:val="0"/>
        <w:jc w:val="both"/>
        <w:rPr>
          <w:rFonts w:ascii="Times New Roman" w:hAnsi="Times New Roman" w:cs="Times New Roman"/>
          <w:sz w:val="22"/>
          <w:szCs w:val="22"/>
        </w:rPr>
      </w:pPr>
      <w:r w:rsidRPr="00F81992">
        <w:rPr>
          <w:rFonts w:ascii="Times New Roman" w:hAnsi="Times New Roman" w:cs="Times New Roman"/>
          <w:sz w:val="22"/>
          <w:szCs w:val="22"/>
        </w:rPr>
        <w:t>nie dopuszcza się stosowania folii o okresie trwałości poniżej 7 lat do znaków stałych,</w:t>
      </w:r>
    </w:p>
    <w:p w:rsidR="002A3A96" w:rsidRPr="00F81992" w:rsidRDefault="002A3A96" w:rsidP="002A3A96">
      <w:pPr>
        <w:numPr>
          <w:ilvl w:val="0"/>
          <w:numId w:val="8"/>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Minimalna początkowa wartość współczynnika odblasku R’(cd·lx</w:t>
      </w:r>
      <w:r w:rsidRPr="00F81992">
        <w:rPr>
          <w:rFonts w:ascii="Times New Roman" w:hAnsi="Times New Roman" w:cs="Times New Roman"/>
          <w:sz w:val="22"/>
          <w:szCs w:val="22"/>
          <w:vertAlign w:val="superscript"/>
          <w:lang w:val="pl-PL"/>
        </w:rPr>
        <w:t>-1</w:t>
      </w:r>
      <w:r w:rsidRPr="00F81992">
        <w:rPr>
          <w:rFonts w:ascii="Times New Roman" w:hAnsi="Times New Roman" w:cs="Times New Roman"/>
          <w:sz w:val="22"/>
          <w:szCs w:val="22"/>
          <w:lang w:val="pl-PL"/>
        </w:rPr>
        <w:t>m</w:t>
      </w:r>
      <w:r w:rsidRPr="00F81992">
        <w:rPr>
          <w:rFonts w:ascii="Times New Roman" w:hAnsi="Times New Roman" w:cs="Times New Roman"/>
          <w:sz w:val="22"/>
          <w:szCs w:val="22"/>
          <w:vertAlign w:val="superscript"/>
          <w:lang w:val="pl-PL"/>
        </w:rPr>
        <w:t xml:space="preserve">-2 </w:t>
      </w:r>
      <w:r w:rsidRPr="00F81992">
        <w:rPr>
          <w:rFonts w:ascii="Times New Roman" w:hAnsi="Times New Roman" w:cs="Times New Roman"/>
          <w:sz w:val="22"/>
          <w:szCs w:val="22"/>
          <w:lang w:val="pl-PL"/>
        </w:rPr>
        <w:t xml:space="preserve">) znaków odblaskowych, zmierzona zgodnie z procedurą zawartą w CIE No.54 [29], używając standardowego </w:t>
      </w:r>
      <w:proofErr w:type="spellStart"/>
      <w:r w:rsidRPr="00F81992">
        <w:rPr>
          <w:rFonts w:ascii="Times New Roman" w:hAnsi="Times New Roman" w:cs="Times New Roman"/>
          <w:sz w:val="22"/>
          <w:szCs w:val="22"/>
          <w:lang w:val="pl-PL"/>
        </w:rPr>
        <w:t>iluminanta</w:t>
      </w:r>
      <w:proofErr w:type="spellEnd"/>
      <w:r w:rsidRPr="00F81992">
        <w:rPr>
          <w:rFonts w:ascii="Times New Roman" w:hAnsi="Times New Roman" w:cs="Times New Roman"/>
          <w:sz w:val="22"/>
          <w:szCs w:val="22"/>
          <w:lang w:val="pl-PL"/>
        </w:rPr>
        <w:t xml:space="preserve"> A, powinna spełniać odpowiednio wymagania podane w tablicy 2.</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Pr="00F81992" w:rsidRDefault="002A3A96" w:rsidP="002A3A96">
      <w:pPr>
        <w:pStyle w:val="Tekstpodstawowy31"/>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W przypadku oświetlenia standardowym </w:t>
      </w:r>
      <w:proofErr w:type="spellStart"/>
      <w:r w:rsidRPr="00F81992">
        <w:rPr>
          <w:rFonts w:ascii="Times New Roman" w:hAnsi="Times New Roman" w:cs="Times New Roman"/>
          <w:sz w:val="22"/>
          <w:szCs w:val="22"/>
          <w:lang w:val="pl-PL"/>
        </w:rPr>
        <w:t>iluminantem</w:t>
      </w:r>
      <w:proofErr w:type="spellEnd"/>
      <w:r w:rsidRPr="00F81992">
        <w:rPr>
          <w:rFonts w:ascii="Times New Roman" w:hAnsi="Times New Roman" w:cs="Times New Roman"/>
          <w:sz w:val="22"/>
          <w:szCs w:val="22"/>
          <w:lang w:val="pl-PL"/>
        </w:rPr>
        <w:t xml:space="preserve"> D 65 i pomiaru w geometrii 45/0 współrzędne chromatyczności i współczynnik luminancji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powinny być zgodne z wymaganiami podanymi w tablicach 2 i 3.</w:t>
      </w:r>
    </w:p>
    <w:p w:rsidR="002A3A96" w:rsidRPr="00F81992" w:rsidRDefault="002A3A96" w:rsidP="002A3A96">
      <w:pPr>
        <w:jc w:val="both"/>
        <w:rPr>
          <w:rFonts w:ascii="Times New Roman" w:hAnsi="Times New Roman" w:cs="Times New Roman"/>
          <w:lang w:val="pl-PL"/>
        </w:rPr>
      </w:pPr>
    </w:p>
    <w:p w:rsidR="002A3A96" w:rsidRPr="00F81992" w:rsidRDefault="002A3A96" w:rsidP="002A3A96">
      <w:pPr>
        <w:jc w:val="both"/>
        <w:rPr>
          <w:rFonts w:ascii="Times New Roman" w:hAnsi="Times New Roman" w:cs="Times New Roman"/>
          <w:lang w:val="pl-PL"/>
        </w:rPr>
      </w:pPr>
    </w:p>
    <w:p w:rsidR="002A3A96" w:rsidRPr="00F81992" w:rsidRDefault="002A3A96" w:rsidP="002A3A96">
      <w:pPr>
        <w:pStyle w:val="Tablica"/>
        <w:tabs>
          <w:tab w:val="left" w:pos="993"/>
        </w:tabs>
        <w:spacing w:before="0" w:after="120" w:line="240" w:lineRule="auto"/>
        <w:ind w:left="993" w:hanging="993"/>
        <w:jc w:val="both"/>
        <w:rPr>
          <w:rFonts w:ascii="Times New Roman" w:hAnsi="Times New Roman" w:cs="Times New Roman"/>
          <w:b w:val="0"/>
          <w:sz w:val="22"/>
          <w:szCs w:val="22"/>
          <w:lang w:val="pl-PL"/>
        </w:rPr>
      </w:pPr>
      <w:r w:rsidRPr="00F81992">
        <w:rPr>
          <w:rFonts w:ascii="Times New Roman" w:hAnsi="Times New Roman" w:cs="Times New Roman"/>
          <w:b w:val="0"/>
          <w:bCs/>
          <w:sz w:val="22"/>
          <w:szCs w:val="22"/>
          <w:lang w:val="pl-PL"/>
        </w:rPr>
        <w:t xml:space="preserve">Tablica 2. </w:t>
      </w:r>
      <w:r w:rsidRPr="00F81992">
        <w:rPr>
          <w:rFonts w:ascii="Times New Roman" w:hAnsi="Times New Roman" w:cs="Times New Roman"/>
          <w:b w:val="0"/>
          <w:bCs/>
          <w:sz w:val="22"/>
          <w:szCs w:val="22"/>
          <w:lang w:val="pl-PL"/>
        </w:rPr>
        <w:tab/>
        <w:t xml:space="preserve">Wymagania dla </w:t>
      </w:r>
      <w:r w:rsidRPr="00F81992">
        <w:rPr>
          <w:rFonts w:ascii="Times New Roman" w:hAnsi="Times New Roman" w:cs="Times New Roman"/>
          <w:b w:val="0"/>
          <w:sz w:val="22"/>
          <w:szCs w:val="22"/>
          <w:lang w:val="pl-PL"/>
        </w:rPr>
        <w:t xml:space="preserve">współczynnika luminancji </w:t>
      </w:r>
      <w:r w:rsidRPr="00F81992">
        <w:rPr>
          <w:rFonts w:ascii="Times New Roman" w:hAnsi="Times New Roman" w:cs="Times New Roman"/>
          <w:b w:val="0"/>
          <w:sz w:val="22"/>
          <w:szCs w:val="22"/>
        </w:rPr>
        <w:t></w:t>
      </w:r>
      <w:r w:rsidRPr="00F81992">
        <w:rPr>
          <w:rFonts w:ascii="Times New Roman" w:hAnsi="Times New Roman" w:cs="Times New Roman"/>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Pr="00F81992" w:rsidRDefault="002A3A96" w:rsidP="002A3A96">
      <w:pPr>
        <w:pStyle w:val="Tablica"/>
        <w:spacing w:before="240"/>
        <w:jc w:val="both"/>
        <w:rPr>
          <w:rFonts w:ascii="Times New Roman" w:hAnsi="Times New Roman" w:cs="Times New Roman"/>
          <w:b w:val="0"/>
          <w:bCs/>
          <w:sz w:val="22"/>
          <w:szCs w:val="22"/>
          <w:lang w:val="pl-PL"/>
        </w:rPr>
      </w:pPr>
      <w:r w:rsidRPr="00F81992">
        <w:rPr>
          <w:rFonts w:ascii="Times New Roman" w:hAnsi="Times New Roman" w:cs="Times New Roman"/>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Pr="00F81992" w:rsidRDefault="002A3A96" w:rsidP="002A3A96">
      <w:pPr>
        <w:spacing w:before="240" w:after="120"/>
        <w:jc w:val="both"/>
        <w:rPr>
          <w:rFonts w:ascii="Times New Roman" w:hAnsi="Times New Roman" w:cs="Times New Roman"/>
          <w:sz w:val="22"/>
          <w:szCs w:val="22"/>
        </w:rPr>
      </w:pPr>
      <w:r w:rsidRPr="00F81992">
        <w:rPr>
          <w:rFonts w:ascii="Times New Roman" w:hAnsi="Times New Roman" w:cs="Times New Roman"/>
          <w:b/>
          <w:sz w:val="22"/>
          <w:szCs w:val="22"/>
        </w:rPr>
        <w:t xml:space="preserve">2.6.2. </w:t>
      </w:r>
      <w:proofErr w:type="spellStart"/>
      <w:r w:rsidRPr="00F81992">
        <w:rPr>
          <w:rFonts w:ascii="Times New Roman" w:hAnsi="Times New Roman" w:cs="Times New Roman"/>
          <w:sz w:val="22"/>
          <w:szCs w:val="22"/>
        </w:rPr>
        <w:t>Wymagania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jakościowe</w:t>
      </w:r>
      <w:proofErr w:type="spellEnd"/>
      <w:r w:rsidRPr="00F81992">
        <w:rPr>
          <w:rFonts w:ascii="Times New Roman" w:hAnsi="Times New Roman" w:cs="Times New Roman"/>
          <w:sz w:val="22"/>
          <w:szCs w:val="22"/>
        </w:rPr>
        <w:t xml:space="preserve"> </w:t>
      </w:r>
    </w:p>
    <w:p w:rsidR="002A3A96" w:rsidRPr="00F81992" w:rsidRDefault="002A3A96" w:rsidP="002A3A96">
      <w:pPr>
        <w:widowControl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Powierzchnia licowa znaku powinna być równa, gładka, bez rozwarstwień, pęcherzy i </w:t>
      </w:r>
      <w:proofErr w:type="spellStart"/>
      <w:r w:rsidRPr="00F81992">
        <w:rPr>
          <w:rFonts w:ascii="Times New Roman" w:hAnsi="Times New Roman" w:cs="Times New Roman"/>
          <w:sz w:val="22"/>
          <w:szCs w:val="22"/>
          <w:lang w:val="pl-PL"/>
        </w:rPr>
        <w:t>odklejeń</w:t>
      </w:r>
      <w:proofErr w:type="spellEnd"/>
      <w:r w:rsidRPr="00F81992">
        <w:rPr>
          <w:rFonts w:ascii="Times New Roman" w:hAnsi="Times New Roman" w:cs="Times New Roman"/>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Sposób połączenia folii z powierzchnią tarczy znaku powinien uniemożliwiać jej odłączenie od tarczy bez jej zniszczenia.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Dokładność rysunku znaku powinna być taka, aby wady konturów znaku, które mogą powstać przy nanoszeniu farby na odblaskową powierzchnię znaku, nie były większe niż podane w p. 2.6.3.</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Lica znaków wykonane drukiem sitowym powinny być wolne od smug i cieni.</w:t>
      </w:r>
    </w:p>
    <w:p w:rsidR="002A3A96" w:rsidRPr="00F81992" w:rsidRDefault="002A3A96" w:rsidP="002A3A96">
      <w:pPr>
        <w:pStyle w:val="Nagwek"/>
        <w:tabs>
          <w:tab w:val="left" w:pos="708"/>
        </w:tabs>
        <w:jc w:val="both"/>
        <w:rPr>
          <w:rFonts w:ascii="Times New Roman" w:hAnsi="Times New Roman" w:cs="Times New Roman"/>
          <w:sz w:val="22"/>
          <w:szCs w:val="22"/>
        </w:rPr>
      </w:pPr>
      <w:r w:rsidRPr="00F81992">
        <w:rPr>
          <w:rFonts w:ascii="Times New Roman" w:hAnsi="Times New Roman" w:cs="Times New Roman"/>
          <w:sz w:val="22"/>
          <w:szCs w:val="22"/>
        </w:rPr>
        <w:tab/>
        <w:t>Krawędzie lica znaku z folii typu 2 i folii pryzmatycznej powinny być odpowiednio zabezpieczone np. przez lakierowanie lub ramą z profilu ceowego.</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Powłoka lakiernicza w kolorze RAL 7037 na tylnej stronie znaku powinna być równa, gładka bez smug i zacieków. </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Sprawdzenie polega na ocenie wizualnej.</w:t>
      </w:r>
    </w:p>
    <w:p w:rsidR="002A3A96" w:rsidRPr="00F81992" w:rsidRDefault="002A3A96" w:rsidP="002A3A96">
      <w:pPr>
        <w:spacing w:before="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2.6.3 Tolerancje wymiarowe znaków drogowych</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2.6.3.1 Tolerancje wymiarowe dla grubości blach</w:t>
      </w:r>
    </w:p>
    <w:p w:rsidR="002A3A96" w:rsidRPr="00F81992" w:rsidRDefault="002A3A96" w:rsidP="002A3A96">
      <w:pPr>
        <w:ind w:firstLine="709"/>
        <w:jc w:val="both"/>
        <w:rPr>
          <w:rFonts w:ascii="Times New Roman" w:hAnsi="Times New Roman" w:cs="Times New Roman"/>
          <w:bCs/>
          <w:sz w:val="22"/>
          <w:szCs w:val="22"/>
        </w:rPr>
      </w:pPr>
      <w:proofErr w:type="spellStart"/>
      <w:r w:rsidRPr="00F81992">
        <w:rPr>
          <w:rFonts w:ascii="Times New Roman" w:hAnsi="Times New Roman" w:cs="Times New Roman"/>
          <w:bCs/>
          <w:sz w:val="22"/>
          <w:szCs w:val="22"/>
        </w:rPr>
        <w:t>Sprawdzenie</w:t>
      </w:r>
      <w:proofErr w:type="spellEnd"/>
      <w:r w:rsidRPr="00F81992">
        <w:rPr>
          <w:rFonts w:ascii="Times New Roman" w:hAnsi="Times New Roman" w:cs="Times New Roman"/>
          <w:bCs/>
          <w:sz w:val="22"/>
          <w:szCs w:val="22"/>
        </w:rPr>
        <w:t xml:space="preserve"> </w:t>
      </w:r>
      <w:proofErr w:type="spellStart"/>
      <w:r w:rsidRPr="00F81992">
        <w:rPr>
          <w:rFonts w:ascii="Times New Roman" w:hAnsi="Times New Roman" w:cs="Times New Roman"/>
          <w:bCs/>
          <w:sz w:val="22"/>
          <w:szCs w:val="22"/>
        </w:rPr>
        <w:t>śrubą</w:t>
      </w:r>
      <w:proofErr w:type="spellEnd"/>
      <w:r w:rsidRPr="00F81992">
        <w:rPr>
          <w:rFonts w:ascii="Times New Roman" w:hAnsi="Times New Roman" w:cs="Times New Roman"/>
          <w:bCs/>
          <w:sz w:val="22"/>
          <w:szCs w:val="22"/>
        </w:rPr>
        <w:t xml:space="preserve"> </w:t>
      </w:r>
      <w:proofErr w:type="spellStart"/>
      <w:r w:rsidRPr="00F81992">
        <w:rPr>
          <w:rFonts w:ascii="Times New Roman" w:hAnsi="Times New Roman" w:cs="Times New Roman"/>
          <w:bCs/>
          <w:sz w:val="22"/>
          <w:szCs w:val="22"/>
        </w:rPr>
        <w:t>mikrometryczną</w:t>
      </w:r>
      <w:proofErr w:type="spellEnd"/>
      <w:r w:rsidRPr="00F81992">
        <w:rPr>
          <w:rFonts w:ascii="Times New Roman" w:hAnsi="Times New Roman" w:cs="Times New Roman"/>
          <w:bCs/>
          <w:sz w:val="22"/>
          <w:szCs w:val="22"/>
        </w:rPr>
        <w:t>:</w:t>
      </w:r>
    </w:p>
    <w:p w:rsidR="002A3A96" w:rsidRPr="00F81992" w:rsidRDefault="002A3A96" w:rsidP="002A3A96">
      <w:pPr>
        <w:numPr>
          <w:ilvl w:val="0"/>
          <w:numId w:val="5"/>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dla blachy stalowej ocynkowanej ogniowo o gr. 1,25 - 1,5 mm wynosi </w:t>
      </w:r>
      <w:r w:rsidRPr="00F81992">
        <w:rPr>
          <w:rFonts w:ascii="Times New Roman" w:hAnsi="Times New Roman" w:cs="Times New Roman"/>
          <w:sz w:val="22"/>
          <w:szCs w:val="22"/>
          <w:lang w:val="pl-PL"/>
        </w:rPr>
        <w:tab/>
        <w:t xml:space="preserve"> - 0,14 mm,</w:t>
      </w:r>
    </w:p>
    <w:p w:rsidR="002A3A96" w:rsidRPr="00F81992" w:rsidRDefault="002A3A96" w:rsidP="002A3A96">
      <w:pPr>
        <w:numPr>
          <w:ilvl w:val="0"/>
          <w:numId w:val="5"/>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dla blach aluminiowych o gr. 1,5 - 2,0 mm wynosi </w:t>
      </w:r>
      <w:r w:rsidRPr="00F81992">
        <w:rPr>
          <w:rFonts w:ascii="Times New Roman" w:hAnsi="Times New Roman" w:cs="Times New Roman"/>
          <w:sz w:val="22"/>
          <w:szCs w:val="22"/>
          <w:lang w:val="pl-PL"/>
        </w:rPr>
        <w:tab/>
      </w:r>
      <w:r w:rsidRPr="00F81992">
        <w:rPr>
          <w:rFonts w:ascii="Times New Roman" w:hAnsi="Times New Roman" w:cs="Times New Roman"/>
          <w:sz w:val="22"/>
          <w:szCs w:val="22"/>
          <w:lang w:val="pl-PL"/>
        </w:rPr>
        <w:tab/>
        <w:t xml:space="preserve"> - 0,10 mm.</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 xml:space="preserve">2.6.3.2 Tolerancje wymiarowe dla grubości powłok malarskich </w:t>
      </w:r>
    </w:p>
    <w:p w:rsidR="002A3A96" w:rsidRPr="00F81992" w:rsidRDefault="002A3A96" w:rsidP="002A3A96">
      <w:pPr>
        <w:ind w:firstLine="709"/>
        <w:jc w:val="both"/>
        <w:rPr>
          <w:rFonts w:ascii="Times New Roman" w:hAnsi="Times New Roman" w:cs="Times New Roman"/>
          <w:bCs/>
          <w:sz w:val="22"/>
          <w:szCs w:val="22"/>
          <w:lang w:val="pl-PL"/>
        </w:rPr>
      </w:pPr>
      <w:r w:rsidRPr="00F81992">
        <w:rPr>
          <w:rFonts w:ascii="Times New Roman" w:hAnsi="Times New Roman" w:cs="Times New Roman"/>
          <w:sz w:val="22"/>
          <w:szCs w:val="22"/>
          <w:lang w:val="pl-PL"/>
        </w:rPr>
        <w:t xml:space="preserve">Dla powłoki lakierniczej na tylnej powierzchni tarczy znaku o grubości 60 µm wynosi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15 nm. </w:t>
      </w:r>
      <w:r w:rsidRPr="00F81992">
        <w:rPr>
          <w:rFonts w:ascii="Times New Roman" w:hAnsi="Times New Roman" w:cs="Times New Roman"/>
          <w:bCs/>
          <w:sz w:val="22"/>
          <w:szCs w:val="22"/>
          <w:lang w:val="pl-PL"/>
        </w:rPr>
        <w:t>Sprawdzenie wg PN-EN ISO 2808:2000 [22].</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2.6.3.3 Tolerancje wymiarowe dla płaskości powierzchni</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Odchylenia od poziomu nie mogą wynieść więcej niż 0,2 %, wyjątkowo do 0,5 %. Sprawdzenie szczelinomierzem.</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2.6.3.4 Tolerancje wymiarowe dla tarcz znaków</w:t>
      </w:r>
    </w:p>
    <w:p w:rsidR="002A3A96" w:rsidRPr="00F81992" w:rsidRDefault="002A3A96" w:rsidP="002A3A96">
      <w:pPr>
        <w:ind w:firstLine="709"/>
        <w:jc w:val="both"/>
        <w:rPr>
          <w:rFonts w:ascii="Times New Roman" w:hAnsi="Times New Roman" w:cs="Times New Roman"/>
          <w:bCs/>
          <w:sz w:val="22"/>
          <w:szCs w:val="22"/>
          <w:lang w:val="pl-PL"/>
        </w:rPr>
      </w:pPr>
      <w:r w:rsidRPr="00F81992">
        <w:rPr>
          <w:rFonts w:ascii="Times New Roman" w:hAnsi="Times New Roman" w:cs="Times New Roman"/>
          <w:bCs/>
          <w:sz w:val="22"/>
          <w:szCs w:val="22"/>
          <w:lang w:val="pl-PL"/>
        </w:rPr>
        <w:t>Sprawdzenie przymiarem liniowym:</w:t>
      </w:r>
    </w:p>
    <w:p w:rsidR="002A3A96" w:rsidRPr="00F81992" w:rsidRDefault="002A3A96" w:rsidP="002A3A96">
      <w:pPr>
        <w:numPr>
          <w:ilvl w:val="0"/>
          <w:numId w:val="6"/>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wymiary dla tarcz znaków o powierzchni &lt; 1m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podane w opisach szczegółowych załącznika nr 1 [25] są należy powiększyć o 10 mm i wykonać w tolerancji wymiarowej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5 mm,</w:t>
      </w:r>
    </w:p>
    <w:p w:rsidR="002A3A96" w:rsidRPr="00F81992" w:rsidRDefault="002A3A96" w:rsidP="002A3A96">
      <w:pPr>
        <w:numPr>
          <w:ilvl w:val="0"/>
          <w:numId w:val="6"/>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wymiary dla tarcz znaków i tablic o powierzchni &gt; 1m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podane w opisach szczegółowych załącznika nr 1 [25] oraz wymiary wynikowe dla tablic grupy E należy powiększyć o 15 mm i wykonać w tolerancji wymiarowej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10 mm.</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 xml:space="preserve">2.6.3.5 Tolerancje wymiarowe dla lica znaku </w:t>
      </w:r>
    </w:p>
    <w:p w:rsidR="002A3A96" w:rsidRPr="00F81992" w:rsidRDefault="002A3A96" w:rsidP="002A3A96">
      <w:pPr>
        <w:ind w:firstLine="709"/>
        <w:jc w:val="both"/>
        <w:rPr>
          <w:rFonts w:ascii="Times New Roman" w:hAnsi="Times New Roman" w:cs="Times New Roman"/>
          <w:bCs/>
          <w:sz w:val="22"/>
          <w:szCs w:val="22"/>
          <w:lang w:val="pl-PL"/>
        </w:rPr>
      </w:pPr>
      <w:r w:rsidRPr="00F81992">
        <w:rPr>
          <w:rFonts w:ascii="Times New Roman" w:hAnsi="Times New Roman" w:cs="Times New Roman"/>
          <w:bCs/>
          <w:sz w:val="22"/>
          <w:szCs w:val="22"/>
          <w:lang w:val="pl-PL"/>
        </w:rPr>
        <w:t>Sprawdzone przymiarem liniowym:</w:t>
      </w:r>
    </w:p>
    <w:p w:rsidR="002A3A96" w:rsidRPr="00F81992" w:rsidRDefault="002A3A96" w:rsidP="002A3A96">
      <w:pPr>
        <w:numPr>
          <w:ilvl w:val="0"/>
          <w:numId w:val="2"/>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tolerancje wymiarowe rysunku lica wykonanego drukiem sitowym wynoszą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1,5 mm,</w:t>
      </w:r>
    </w:p>
    <w:p w:rsidR="002A3A96" w:rsidRPr="00F81992" w:rsidRDefault="002A3A96" w:rsidP="002A3A96">
      <w:pPr>
        <w:numPr>
          <w:ilvl w:val="0"/>
          <w:numId w:val="2"/>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tolerancje wymiarowe rysunku lica wykonanego metodą wyklejania wynoszą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2 mm,</w:t>
      </w:r>
    </w:p>
    <w:p w:rsidR="002A3A96" w:rsidRPr="00F81992" w:rsidRDefault="002A3A96" w:rsidP="002A3A96">
      <w:pPr>
        <w:numPr>
          <w:ilvl w:val="0"/>
          <w:numId w:val="2"/>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kontury rysunku znaku (obwódka i symbol) muszą być równe z dokładnością w każdym kierunku do 1,0 mm.</w:t>
      </w:r>
    </w:p>
    <w:p w:rsidR="002A3A96" w:rsidRPr="00F81992" w:rsidRDefault="002A3A96" w:rsidP="002A3A96">
      <w:pPr>
        <w:jc w:val="both"/>
        <w:rPr>
          <w:rFonts w:ascii="Times New Roman" w:hAnsi="Times New Roman" w:cs="Times New Roman"/>
          <w:sz w:val="22"/>
          <w:szCs w:val="22"/>
          <w:lang w:val="pl-PL"/>
        </w:rPr>
      </w:pP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Na znakach w okresie gwarancji dopuszcza się również lokalne uszkodzenie folii o powierzchni nie przekraczającej 6 mm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każde - w liczbie nie większej niż pięć na powierzchni znaku małego lub średniego, oraz o powierzchni nie przekraczającej 8 mm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każde - w liczbie nie większej niż 8 na każdym z fragmentów powierzchni znaku dużego lub wielkiego (włączając znaki informacyjne) o wymiarach 1200 × 1200 mm.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Uszkodzenia folii nie mogą zniekształcać treści znaku - w przypadku występowania takiego zniekształcenia znak musi być bezzwłocznie wymieniony.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Wymagana jest taka wytrzymałość połączenia folii odblaskowej z tarczą znaku, by po zgięciu tarczy o 90</w:t>
      </w:r>
      <w:r w:rsidRPr="00F81992">
        <w:rPr>
          <w:rFonts w:ascii="Times New Roman" w:hAnsi="Times New Roman" w:cs="Times New Roman"/>
          <w:sz w:val="22"/>
          <w:szCs w:val="22"/>
          <w:vertAlign w:val="superscript"/>
          <w:lang w:val="pl-PL"/>
        </w:rPr>
        <w:t>o</w:t>
      </w:r>
      <w:r w:rsidRPr="00F81992">
        <w:rPr>
          <w:rFonts w:ascii="Times New Roman" w:hAnsi="Times New Roman" w:cs="Times New Roman"/>
          <w:sz w:val="22"/>
          <w:szCs w:val="22"/>
          <w:lang w:val="pl-PL"/>
        </w:rPr>
        <w:t xml:space="preserve"> przy promieniu łuku zgięcia do 10 mm w żadnym miejscu nie uległo ono zniszczeniu.</w:t>
      </w:r>
    </w:p>
    <w:p w:rsidR="002A3A96" w:rsidRPr="00F81992" w:rsidRDefault="002A3A96" w:rsidP="002A3A96">
      <w:pPr>
        <w:spacing w:before="120" w:after="120"/>
        <w:jc w:val="both"/>
        <w:rPr>
          <w:rFonts w:ascii="Times New Roman" w:hAnsi="Times New Roman" w:cs="Times New Roman"/>
          <w:b/>
          <w:sz w:val="22"/>
          <w:szCs w:val="22"/>
          <w:lang w:val="pl-PL"/>
        </w:rPr>
      </w:pPr>
      <w:r w:rsidRPr="00F81992">
        <w:rPr>
          <w:rFonts w:ascii="Times New Roman" w:hAnsi="Times New Roman" w:cs="Times New Roman"/>
          <w:b/>
          <w:sz w:val="22"/>
          <w:szCs w:val="22"/>
          <w:lang w:val="pl-PL"/>
        </w:rPr>
        <w:t>2.6.4 Obowiązujący system oceny zgodności</w:t>
      </w:r>
    </w:p>
    <w:p w:rsidR="002A3A96" w:rsidRPr="00F81992" w:rsidRDefault="002A3A96" w:rsidP="002A3A96">
      <w:pPr>
        <w:pStyle w:val="Numerowanie"/>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Zgodnie z rozporządzeniem Ministra Infrastruktury z dnia 11 sierpnia 2004 r. [26] oceny zgodności wyrobu z aprobatą techniczną dokonuje producent, stosując system 1. </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2.7. Znaki podświetlane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2.7.1. </w:t>
      </w:r>
      <w:r w:rsidRPr="00F81992">
        <w:rPr>
          <w:rFonts w:ascii="Times New Roman" w:hAnsi="Times New Roman" w:cs="Times New Roman"/>
          <w:sz w:val="22"/>
          <w:szCs w:val="22"/>
          <w:lang w:val="pl-PL"/>
        </w:rPr>
        <w:t>Wymagania ogólne dotyczące znaków podświetlanych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Oprawy oświetleniowe powinny być zgodne z normą PN-EN 60598-2:2003(U) [20].</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2.7.2. </w:t>
      </w:r>
      <w:r w:rsidRPr="00F81992">
        <w:rPr>
          <w:rFonts w:ascii="Times New Roman" w:hAnsi="Times New Roman" w:cs="Times New Roman"/>
          <w:sz w:val="22"/>
          <w:szCs w:val="22"/>
          <w:lang w:val="pl-PL"/>
        </w:rPr>
        <w:t>Lico znaku podświetlanego</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2.8. Znaki oświetlane</w:t>
      </w:r>
    </w:p>
    <w:p w:rsidR="002A3A96" w:rsidRPr="00F81992" w:rsidRDefault="002A3A96" w:rsidP="002A3A96">
      <w:pPr>
        <w:keepNext/>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2.8.1. </w:t>
      </w:r>
      <w:r w:rsidRPr="00F81992">
        <w:rPr>
          <w:rFonts w:ascii="Times New Roman" w:hAnsi="Times New Roman" w:cs="Times New Roman"/>
          <w:sz w:val="22"/>
          <w:szCs w:val="22"/>
          <w:lang w:val="pl-PL"/>
        </w:rPr>
        <w:t>Wymagania ogólne dotyczące znaków oświetlanych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Znaki drogowe oświetlane wykonuje się jak znaki </w:t>
      </w:r>
      <w:proofErr w:type="spellStart"/>
      <w:r w:rsidRPr="00F81992">
        <w:rPr>
          <w:rFonts w:ascii="Times New Roman" w:hAnsi="Times New Roman" w:cs="Times New Roman"/>
          <w:sz w:val="22"/>
          <w:szCs w:val="22"/>
          <w:lang w:val="pl-PL"/>
        </w:rPr>
        <w:t>nieodblaskowe</w:t>
      </w:r>
      <w:proofErr w:type="spellEnd"/>
      <w:r w:rsidRPr="00F81992">
        <w:rPr>
          <w:rFonts w:ascii="Times New Roman" w:hAnsi="Times New Roman" w:cs="Times New Roman"/>
          <w:sz w:val="22"/>
          <w:szCs w:val="22"/>
          <w:lang w:val="pl-PL"/>
        </w:rPr>
        <w:t>. Ze znakiem sprzężona jest w sposób sztywny oprawa oświetleniowa, oświetlająca w nocy lico znaku. Oprawa umieszczona jest na zewnątrz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Jeśli dokumentacja projektowa lub SST przewiduje wykonanie znaku z materiałów odblaskowych, znak musi spełniać dodatkowo wymagania określone w punkcie 2.6.</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Oznaczenia na naklejce oprawy muszą spełniać wymagania określone w punkcie 2.7.1.</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2.8.2. </w:t>
      </w:r>
      <w:r w:rsidRPr="00F81992">
        <w:rPr>
          <w:rFonts w:ascii="Times New Roman" w:hAnsi="Times New Roman" w:cs="Times New Roman"/>
          <w:sz w:val="22"/>
          <w:szCs w:val="22"/>
          <w:lang w:val="pl-PL"/>
        </w:rPr>
        <w:t>Lico znaku oświetlonego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Wymagania dotyczące lica znaku oświetlanego ustala się jak dla znaku podświetlanego (pkt 2.7.2).</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2.9. Materiały do montażu znaków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Pr="00F81992" w:rsidRDefault="002A3A96" w:rsidP="002A3A96">
      <w:pPr>
        <w:pStyle w:val="Listapunktowana1"/>
        <w:tabs>
          <w:tab w:val="clear" w:pos="360"/>
          <w:tab w:val="left" w:pos="709"/>
        </w:tabs>
        <w:ind w:left="0" w:firstLine="0"/>
        <w:rPr>
          <w:rFonts w:ascii="Times New Roman" w:hAnsi="Times New Roman" w:cs="Times New Roman"/>
          <w:sz w:val="22"/>
          <w:szCs w:val="22"/>
          <w:lang w:val="pl-PL"/>
        </w:rPr>
      </w:pPr>
      <w:r w:rsidRPr="00F81992">
        <w:rPr>
          <w:rFonts w:ascii="Times New Roman" w:hAnsi="Times New Roman" w:cs="Times New Roman"/>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2.10. Przechowywanie i składowanie materiałów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Znaki powinny być przechowywane w pomieszczeniach suchych, z dala od materiałów działających korodująco i w warunkach zabezpieczających przed uszkodzeniami.</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3. sprzęt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3.1. Ogólne wymagania dotyczące sprzętu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Ogólne wymagania dotyczące sprzętu podano w SST D-M-00.00.00 „Wymagania ogólne” pkt 3.</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3.2. Sprzęt do wykonania oznakowania pionowego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Wykonawca przystępujący do wykonania oznakowania pionowego powinien wykazać się możliwością korzystania z następującego sprzętu:</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koparek kołowych, np. 0,15 m</w:t>
      </w:r>
      <w:r w:rsidRPr="00F81992">
        <w:rPr>
          <w:rFonts w:ascii="Times New Roman" w:hAnsi="Times New Roman" w:cs="Times New Roman"/>
          <w:sz w:val="22"/>
          <w:szCs w:val="22"/>
          <w:vertAlign w:val="superscript"/>
          <w:lang w:val="pl-PL"/>
        </w:rPr>
        <w:t>3</w:t>
      </w:r>
      <w:r w:rsidRPr="00F81992">
        <w:rPr>
          <w:rFonts w:ascii="Times New Roman" w:hAnsi="Times New Roman" w:cs="Times New Roman"/>
          <w:sz w:val="22"/>
          <w:szCs w:val="22"/>
          <w:lang w:val="pl-PL"/>
        </w:rPr>
        <w:t xml:space="preserve"> lub koparek gąsienicowych, np. 0,25 m</w:t>
      </w:r>
      <w:r w:rsidRPr="00F81992">
        <w:rPr>
          <w:rFonts w:ascii="Times New Roman" w:hAnsi="Times New Roman" w:cs="Times New Roman"/>
          <w:sz w:val="22"/>
          <w:szCs w:val="22"/>
          <w:vertAlign w:val="superscript"/>
          <w:lang w:val="pl-PL"/>
        </w:rPr>
        <w:t>3</w:t>
      </w:r>
      <w:r w:rsidRPr="00F81992">
        <w:rPr>
          <w:rFonts w:ascii="Times New Roman" w:hAnsi="Times New Roman" w:cs="Times New Roman"/>
          <w:sz w:val="22"/>
          <w:szCs w:val="22"/>
          <w:lang w:val="pl-PL"/>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żurawi samochodowych o udźwigu do 4 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wiertnic do wykonywania dołów pod słupki w gruncie spoistym,</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betoniarek przewoźnych do wykonywania fundamentów betonowych „na mokro”,</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środków transportowych do przewozu materiałów,</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przewoźnych</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zbiorników</w:t>
      </w:r>
      <w:proofErr w:type="spellEnd"/>
      <w:r w:rsidRPr="00F81992">
        <w:rPr>
          <w:rFonts w:ascii="Times New Roman" w:hAnsi="Times New Roman" w:cs="Times New Roman"/>
          <w:sz w:val="22"/>
          <w:szCs w:val="22"/>
        </w:rPr>
        <w:t xml:space="preserve"> na </w:t>
      </w:r>
      <w:proofErr w:type="spellStart"/>
      <w:r w:rsidRPr="00F81992">
        <w:rPr>
          <w:rFonts w:ascii="Times New Roman" w:hAnsi="Times New Roman" w:cs="Times New Roman"/>
          <w:sz w:val="22"/>
          <w:szCs w:val="22"/>
        </w:rPr>
        <w:t>wodę</w:t>
      </w:r>
      <w:proofErr w:type="spellEnd"/>
      <w:r w:rsidRPr="00F81992">
        <w:rPr>
          <w:rFonts w:ascii="Times New Roman" w:hAnsi="Times New Roman" w:cs="Times New Roman"/>
          <w:sz w:val="22"/>
          <w:szCs w:val="22"/>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sprzętu</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spawalniczego</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itp</w:t>
      </w:r>
      <w:proofErr w:type="spellEnd"/>
      <w:r w:rsidRPr="00F81992">
        <w:rPr>
          <w:rFonts w:ascii="Times New Roman" w:hAnsi="Times New Roman" w:cs="Times New Roman"/>
          <w:sz w:val="22"/>
          <w:szCs w:val="22"/>
        </w:rPr>
        <w:t>.</w:t>
      </w:r>
    </w:p>
    <w:p w:rsidR="002A3A96" w:rsidRPr="00F81992" w:rsidRDefault="002A3A96" w:rsidP="002A3A96">
      <w:pPr>
        <w:ind w:left="283" w:firstLine="426"/>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Pierwsze dwie pozycje dotyczą wykonawcy znaków bramowych.</w:t>
      </w:r>
    </w:p>
    <w:p w:rsidR="002A3A96" w:rsidRPr="00F81992" w:rsidRDefault="002A3A96" w:rsidP="002A3A96">
      <w:pPr>
        <w:pStyle w:val="Nagwek1"/>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4. transport</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4.1. Ogólne wymagania dotyczące transportu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Ogólne wymagania dotyczące transportu podano w SST D-M-00.00.00 „Wymagania ogólne” pkt 4.</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4.2. Transport znaków do pionowego oznakowania dróg</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Znaki drogowe należy na okres transportu odpowiednio zabezpieczyć, tak aby nie ulegały przemieszczaniu i w sposób nie uszkodzony dotarły do odbiorcy.</w:t>
      </w:r>
    </w:p>
    <w:p w:rsidR="002A3A96" w:rsidRPr="00F81992" w:rsidRDefault="002A3A96" w:rsidP="002A3A96">
      <w:pPr>
        <w:pStyle w:val="Nagwek1"/>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 wykonanie robót</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5.1. Ogólne zasady wykonywania robót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Ogólne zasady wykonywania robót podano w SST D-M-00.00.00 „Wymagania ogólne” pkt 5.</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5.2. Roboty przygotowawcze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Przed przystąpieniem do robót należy wyznaczyć:</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lokalizację znaku, tj. jego </w:t>
      </w:r>
      <w:proofErr w:type="spellStart"/>
      <w:r w:rsidRPr="00F81992">
        <w:rPr>
          <w:rFonts w:ascii="Times New Roman" w:hAnsi="Times New Roman" w:cs="Times New Roman"/>
          <w:sz w:val="22"/>
          <w:szCs w:val="22"/>
          <w:lang w:val="pl-PL"/>
        </w:rPr>
        <w:t>pikietaż</w:t>
      </w:r>
      <w:proofErr w:type="spellEnd"/>
      <w:r w:rsidRPr="00F81992">
        <w:rPr>
          <w:rFonts w:ascii="Times New Roman" w:hAnsi="Times New Roman" w:cs="Times New Roman"/>
          <w:sz w:val="22"/>
          <w:szCs w:val="22"/>
          <w:lang w:val="pl-PL"/>
        </w:rPr>
        <w:t xml:space="preserve"> oraz odległość od krawędzi jezdni, krawędzi pobocza umocnionego lub pasa awaryjnego postoju,</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wysokość zamocowania znaku na konstrukcji wsporczej.</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Punkty stabilizujące miejsca ustawienia znaków należy zabezpieczyć w taki sposób, aby w czasie trwania i odbioru robót istniała możliwość sprawdzenia lokalizacji znaków.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Lokalizacja i wysokość zamocowania znaku powinny być zgodne z dokumentacją projektową.</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Miejsce wykonywania prac należy oznakować, w celu zabezpieczenia pracowników i kierujących pojazdami na drodze.</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5.3. Wykonanie wykopów i fundamentów dla konstrukcji wsporczych znaków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Wykopy fundamentowe powinny być wykonane w takim okresie, aby po ich zakończeniu można było przystąpić natychmiast do wykonania w nich robót fundamentowych.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5.3.1. </w:t>
      </w:r>
      <w:r w:rsidRPr="00F81992">
        <w:rPr>
          <w:rFonts w:ascii="Times New Roman" w:hAnsi="Times New Roman" w:cs="Times New Roman"/>
          <w:sz w:val="22"/>
          <w:szCs w:val="22"/>
          <w:lang w:val="pl-PL"/>
        </w:rPr>
        <w:t>Prefabrykaty betonowe</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Jeżeli znak jest zlokalizowany na poboczu drogi, to górna powierzchnia prefabrykatu powinna być równa z powierzchnią pobocza lub być wyniesiona nad tę powierzchnię nie więcej niż 0,03 m.</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5.3.2. </w:t>
      </w:r>
      <w:r w:rsidRPr="00F81992">
        <w:rPr>
          <w:rFonts w:ascii="Times New Roman" w:hAnsi="Times New Roman" w:cs="Times New Roman"/>
          <w:sz w:val="22"/>
          <w:szCs w:val="22"/>
          <w:lang w:val="pl-PL"/>
        </w:rPr>
        <w:t>Fundamenty z betonu i betonu zbrojonego</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2 cm.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5.4. Tolerancje ustawienia znaku pionowego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Konstrukcje wsporcze znaków - słupki, słupy, wysięgniki, konstrukcje dla tablic wielkowymiarowych, powinny być wykonane zgodnie z dokumentacją i SST.</w:t>
      </w:r>
    </w:p>
    <w:p w:rsidR="002A3A96" w:rsidRPr="00F81992" w:rsidRDefault="002A3A96" w:rsidP="002A3A96">
      <w:pPr>
        <w:jc w:val="both"/>
        <w:rPr>
          <w:rFonts w:ascii="Times New Roman" w:hAnsi="Times New Roman" w:cs="Times New Roman"/>
          <w:sz w:val="22"/>
          <w:szCs w:val="22"/>
        </w:rPr>
      </w:pPr>
      <w:r w:rsidRPr="00F81992">
        <w:rPr>
          <w:rFonts w:ascii="Times New Roman" w:hAnsi="Times New Roman" w:cs="Times New Roman"/>
          <w:sz w:val="22"/>
          <w:szCs w:val="22"/>
          <w:lang w:val="pl-PL"/>
        </w:rPr>
        <w:tab/>
      </w:r>
      <w:proofErr w:type="spellStart"/>
      <w:r w:rsidRPr="00F81992">
        <w:rPr>
          <w:rFonts w:ascii="Times New Roman" w:hAnsi="Times New Roman" w:cs="Times New Roman"/>
          <w:sz w:val="22"/>
          <w:szCs w:val="22"/>
        </w:rPr>
        <w:t>Dopuszczalne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tolerancje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ustawienia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znaku</w:t>
      </w:r>
      <w:proofErr w:type="spellEnd"/>
      <w:r w:rsidRPr="00F81992">
        <w:rPr>
          <w:rFonts w:ascii="Times New Roman" w:hAnsi="Times New Roman" w:cs="Times New Roman"/>
          <w:sz w:val="22"/>
          <w:szCs w:val="22"/>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odchyłka od pionu, nie więcej niż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1 %,</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odchyłka w wysokości umieszczenia znaku, nie więcej niż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2 cm,</w:t>
      </w:r>
    </w:p>
    <w:p w:rsidR="002A3A96" w:rsidRPr="00F81992" w:rsidRDefault="002A3A96" w:rsidP="002A3A96">
      <w:pPr>
        <w:numPr>
          <w:ilvl w:val="0"/>
          <w:numId w:val="3"/>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odchyłka w odległości ustawienia znaku od krawędzi jezdni utwardzonego pobocza lub pasa awaryjnego postoju, nie więcej niż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5.5. Konstrukcje wsporcze</w:t>
      </w:r>
    </w:p>
    <w:p w:rsidR="002A3A96" w:rsidRPr="00F81992" w:rsidRDefault="002A3A96" w:rsidP="002A3A96">
      <w:pPr>
        <w:keepNext/>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5.5.1. </w:t>
      </w:r>
      <w:r w:rsidRPr="00F81992">
        <w:rPr>
          <w:rFonts w:ascii="Times New Roman" w:hAnsi="Times New Roman" w:cs="Times New Roman"/>
          <w:sz w:val="22"/>
          <w:szCs w:val="22"/>
          <w:lang w:val="pl-PL"/>
        </w:rPr>
        <w:t>Zabezpieczenie konstrukcji wsporczej przed najechaniem</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Konstrukcje wsporcze znaków drogowych bramowych lub wysięgnikowych jedno lub dwustronnych, jak również konstrukcje wsporcze znaków tablicowych bocznych o powierzchni większej od 4,5 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sidRPr="00F81992">
        <w:rPr>
          <w:rFonts w:ascii="Times New Roman" w:hAnsi="Times New Roman" w:cs="Times New Roman"/>
          <w:sz w:val="22"/>
          <w:szCs w:val="22"/>
          <w:lang w:val="pl-PL"/>
        </w:rPr>
        <w:t>przeciwdestrukcyjnymi</w:t>
      </w:r>
      <w:proofErr w:type="spellEnd"/>
      <w:r w:rsidRPr="00F81992">
        <w:rPr>
          <w:rFonts w:ascii="Times New Roman" w:hAnsi="Times New Roman" w:cs="Times New Roman"/>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5.5.2. </w:t>
      </w:r>
      <w:r w:rsidRPr="00F81992">
        <w:rPr>
          <w:rFonts w:ascii="Times New Roman" w:hAnsi="Times New Roman" w:cs="Times New Roman"/>
          <w:sz w:val="22"/>
          <w:szCs w:val="22"/>
          <w:lang w:val="pl-PL"/>
        </w:rPr>
        <w:t xml:space="preserve">Łatwo </w:t>
      </w:r>
      <w:proofErr w:type="spellStart"/>
      <w:r w:rsidRPr="00F81992">
        <w:rPr>
          <w:rFonts w:ascii="Times New Roman" w:hAnsi="Times New Roman" w:cs="Times New Roman"/>
          <w:sz w:val="22"/>
          <w:szCs w:val="22"/>
          <w:lang w:val="pl-PL"/>
        </w:rPr>
        <w:t>zrywalne</w:t>
      </w:r>
      <w:proofErr w:type="spellEnd"/>
      <w:r w:rsidRPr="00F81992">
        <w:rPr>
          <w:rFonts w:ascii="Times New Roman" w:hAnsi="Times New Roman" w:cs="Times New Roman"/>
          <w:sz w:val="22"/>
          <w:szCs w:val="22"/>
          <w:lang w:val="pl-PL"/>
        </w:rPr>
        <w:t xml:space="preserve"> złącza konstrukcji wsporczej</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W przypadku konstrukcji wsporczych, nie osłoniętych barierami ochronnymi - zaleca się stosowanie łatwo </w:t>
      </w:r>
      <w:proofErr w:type="spellStart"/>
      <w:r w:rsidRPr="00F81992">
        <w:rPr>
          <w:rFonts w:ascii="Times New Roman" w:hAnsi="Times New Roman" w:cs="Times New Roman"/>
          <w:sz w:val="22"/>
          <w:szCs w:val="22"/>
          <w:lang w:val="pl-PL"/>
        </w:rPr>
        <w:t>zrywalnych</w:t>
      </w:r>
      <w:proofErr w:type="spellEnd"/>
      <w:r w:rsidRPr="00F81992">
        <w:rPr>
          <w:rFonts w:ascii="Times New Roman" w:hAnsi="Times New Roman" w:cs="Times New Roman"/>
          <w:sz w:val="22"/>
          <w:szCs w:val="22"/>
          <w:lang w:val="pl-PL"/>
        </w:rPr>
        <w:t xml:space="preserve"> lub łatwo rozłączalnych przekrojów, złączy lub przegubów o odpowiednio bezpiecznej konstrukcji, umieszczonych na wysokości od 0,15 do 0,20 m nad powierzchnią terenu.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Łatwo </w:t>
      </w:r>
      <w:proofErr w:type="spellStart"/>
      <w:r w:rsidRPr="00F81992">
        <w:rPr>
          <w:rFonts w:ascii="Times New Roman" w:hAnsi="Times New Roman" w:cs="Times New Roman"/>
          <w:sz w:val="22"/>
          <w:szCs w:val="22"/>
          <w:lang w:val="pl-PL"/>
        </w:rPr>
        <w:t>zrywalne</w:t>
      </w:r>
      <w:proofErr w:type="spellEnd"/>
      <w:r w:rsidRPr="00F81992">
        <w:rPr>
          <w:rFonts w:ascii="Times New Roman" w:hAnsi="Times New Roman" w:cs="Times New Roman"/>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Pr="00F81992" w:rsidRDefault="002A3A96" w:rsidP="002A3A96">
      <w:pPr>
        <w:spacing w:before="120"/>
        <w:ind w:left="709" w:hanging="709"/>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5.5.3. </w:t>
      </w:r>
      <w:r w:rsidRPr="00F81992">
        <w:rPr>
          <w:rFonts w:ascii="Times New Roman" w:hAnsi="Times New Roman" w:cs="Times New Roman"/>
          <w:sz w:val="22"/>
          <w:szCs w:val="22"/>
          <w:lang w:val="pl-PL"/>
        </w:rPr>
        <w:t>Zapobieganie zagrożeniu użytkowników drogi i terenu przyległego - przez konstrukcję wsporczą</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5.5.4. </w:t>
      </w:r>
      <w:r w:rsidRPr="00F81992">
        <w:rPr>
          <w:rFonts w:ascii="Times New Roman" w:hAnsi="Times New Roman" w:cs="Times New Roman"/>
          <w:sz w:val="22"/>
          <w:szCs w:val="22"/>
          <w:lang w:val="pl-PL"/>
        </w:rPr>
        <w:t>Tablicowe znaki drogowe na dwóch słupach lub podporach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Przy stosowaniu tablicowych znaków drogowych (drogowskazów tablicowych, tablic </w:t>
      </w:r>
      <w:proofErr w:type="spellStart"/>
      <w:r w:rsidRPr="00F81992">
        <w:rPr>
          <w:rFonts w:ascii="Times New Roman" w:hAnsi="Times New Roman" w:cs="Times New Roman"/>
          <w:sz w:val="22"/>
          <w:szCs w:val="22"/>
          <w:lang w:val="pl-PL"/>
        </w:rPr>
        <w:t>przeddrogowskazowych</w:t>
      </w:r>
      <w:proofErr w:type="spellEnd"/>
      <w:r w:rsidRPr="00F81992">
        <w:rPr>
          <w:rFonts w:ascii="Times New Roman" w:hAnsi="Times New Roman" w:cs="Times New Roman"/>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5.5.5. </w:t>
      </w:r>
      <w:r w:rsidRPr="00F81992">
        <w:rPr>
          <w:rFonts w:ascii="Times New Roman" w:hAnsi="Times New Roman" w:cs="Times New Roman"/>
          <w:sz w:val="22"/>
          <w:szCs w:val="22"/>
          <w:lang w:val="pl-PL"/>
        </w:rPr>
        <w:t>Poziom górnej powierzchni fundamentu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5.5.6. </w:t>
      </w:r>
      <w:r w:rsidRPr="00F81992">
        <w:rPr>
          <w:rFonts w:ascii="Times New Roman" w:hAnsi="Times New Roman" w:cs="Times New Roman"/>
          <w:sz w:val="22"/>
          <w:szCs w:val="22"/>
          <w:lang w:val="pl-PL"/>
        </w:rPr>
        <w:t>Barwa konstrukcji wsporczej</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5.6. Połączenie tarczy znaku z konstrukcją wsporczą</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Tarcza znaku musi być zamocowana do konstrukcji wsporczej w sposób uniemożliwiający jej przesunięcie lub obrót.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Nie dopuszcza się zamocowania znaku do konstrukcji wsporczej w sposób wymagający bezpośredniego przeprowadzenia śrub mocujących przez lico znaku.</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5.7. Urządzenia elektryczne na konstrukcji wsporczej</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5.8. Źródło światła znaku podświetlanego i znaku oświetlanego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Źródło światła należy wykonać zgodnie z ustaleniami dokumentacji projektowej, SST lub wskazaniami Inżyniera, jako:</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lampy fluorescencyjne barwy dziennej lub chłodno białej,</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wysokoprężne lampy rtęciowe o poprawionym współczynniku oddawania barw,</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lampy</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metalo-halogenowe</w:t>
      </w:r>
      <w:proofErr w:type="spellEnd"/>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Pr="00F81992" w:rsidRDefault="002A3A96" w:rsidP="002A3A96">
      <w:pPr>
        <w:tabs>
          <w:tab w:val="left" w:pos="993"/>
        </w:tabs>
        <w:spacing w:before="120" w:after="120"/>
        <w:jc w:val="both"/>
        <w:rPr>
          <w:rFonts w:ascii="Times New Roman" w:hAnsi="Times New Roman" w:cs="Times New Roman"/>
          <w:sz w:val="22"/>
          <w:szCs w:val="22"/>
          <w:vertAlign w:val="superscript"/>
          <w:lang w:val="pl-PL"/>
        </w:rPr>
      </w:pPr>
      <w:r w:rsidRPr="00F81992">
        <w:rPr>
          <w:rFonts w:ascii="Times New Roman" w:hAnsi="Times New Roman" w:cs="Times New Roman"/>
          <w:bCs/>
          <w:sz w:val="22"/>
          <w:szCs w:val="22"/>
          <w:lang w:val="pl-PL"/>
        </w:rPr>
        <w:t>Tablica 4 .</w:t>
      </w:r>
      <w:r w:rsidRPr="00F81992">
        <w:rPr>
          <w:rFonts w:ascii="Times New Roman" w:hAnsi="Times New Roman" w:cs="Times New Roman"/>
          <w:bCs/>
          <w:sz w:val="22"/>
          <w:szCs w:val="22"/>
          <w:lang w:val="pl-PL"/>
        </w:rPr>
        <w:tab/>
        <w:t xml:space="preserve">Średnia luminancja </w:t>
      </w:r>
      <w:r w:rsidRPr="00F81992">
        <w:rPr>
          <w:rFonts w:ascii="Times New Roman" w:hAnsi="Times New Roman" w:cs="Times New Roman"/>
          <w:bCs/>
          <w:i/>
          <w:sz w:val="22"/>
          <w:szCs w:val="22"/>
          <w:lang w:val="pl-PL"/>
        </w:rPr>
        <w:t>L</w:t>
      </w:r>
      <w:r w:rsidRPr="00F81992">
        <w:rPr>
          <w:rFonts w:ascii="Times New Roman" w:hAnsi="Times New Roman" w:cs="Times New Roman"/>
          <w:bCs/>
          <w:sz w:val="22"/>
          <w:szCs w:val="22"/>
          <w:lang w:val="pl-PL"/>
        </w:rPr>
        <w:t xml:space="preserve"> znaków podświetlanych, </w:t>
      </w:r>
      <w:r w:rsidRPr="00F81992">
        <w:rPr>
          <w:rFonts w:ascii="Times New Roman" w:hAnsi="Times New Roman" w:cs="Times New Roman"/>
          <w:sz w:val="22"/>
          <w:szCs w:val="22"/>
          <w:lang w:val="pl-PL"/>
        </w:rPr>
        <w:t>jednostka: cd</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m</w:t>
      </w:r>
      <w:r w:rsidRPr="00F81992">
        <w:rPr>
          <w:rFonts w:ascii="Times New Roman" w:hAnsi="Times New Roman" w:cs="Times New Roman"/>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Pr="00F81992" w:rsidRDefault="002A3A96" w:rsidP="002A3A96">
      <w:pPr>
        <w:spacing w:before="12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Pr="00F81992" w:rsidRDefault="002A3A96" w:rsidP="002A3A96">
      <w:pPr>
        <w:spacing w:before="120" w:after="120"/>
        <w:jc w:val="both"/>
        <w:rPr>
          <w:rFonts w:ascii="Times New Roman" w:hAnsi="Times New Roman" w:cs="Times New Roman"/>
          <w:sz w:val="22"/>
          <w:szCs w:val="22"/>
          <w:vertAlign w:val="superscript"/>
          <w:lang w:val="pl-PL"/>
        </w:rPr>
      </w:pPr>
      <w:r w:rsidRPr="00F81992">
        <w:rPr>
          <w:rFonts w:ascii="Times New Roman" w:hAnsi="Times New Roman" w:cs="Times New Roman"/>
          <w:bCs/>
          <w:sz w:val="22"/>
          <w:szCs w:val="22"/>
          <w:lang w:val="pl-PL"/>
        </w:rPr>
        <w:t xml:space="preserve">Tablica 5 . Kontrast luminancji </w:t>
      </w:r>
      <w:r w:rsidRPr="00F81992">
        <w:rPr>
          <w:rFonts w:ascii="Times New Roman" w:hAnsi="Times New Roman" w:cs="Times New Roman"/>
          <w:bCs/>
          <w:i/>
          <w:sz w:val="22"/>
          <w:szCs w:val="22"/>
          <w:lang w:val="pl-PL"/>
        </w:rPr>
        <w:t>K</w:t>
      </w:r>
      <w:r w:rsidRPr="00F81992">
        <w:rPr>
          <w:rFonts w:ascii="Times New Roman" w:hAnsi="Times New Roman" w:cs="Times New Roman"/>
          <w:bCs/>
          <w:sz w:val="22"/>
          <w:szCs w:val="22"/>
          <w:lang w:val="pl-PL"/>
        </w:rPr>
        <w:t xml:space="preserve"> znaków podświetlanych, </w:t>
      </w:r>
      <w:r w:rsidRPr="00F81992">
        <w:rPr>
          <w:rFonts w:ascii="Times New Roman" w:hAnsi="Times New Roman" w:cs="Times New Roman"/>
          <w:sz w:val="22"/>
          <w:szCs w:val="22"/>
          <w:lang w:val="pl-PL"/>
        </w:rPr>
        <w:t>jednostka: cd</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m</w:t>
      </w:r>
      <w:r w:rsidRPr="00F81992">
        <w:rPr>
          <w:rFonts w:ascii="Times New Roman" w:hAnsi="Times New Roman" w:cs="Times New Roman"/>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F81992" w:rsidRDefault="002A3A96" w:rsidP="007015AD">
            <w:pPr>
              <w:pStyle w:val="Nagwek6"/>
              <w:snapToGrid w:val="0"/>
              <w:spacing w:before="120" w:after="120"/>
              <w:jc w:val="both"/>
              <w:rPr>
                <w:b w:val="0"/>
              </w:rPr>
            </w:pPr>
            <w:proofErr w:type="spellStart"/>
            <w:r>
              <w:rPr>
                <w:b w:val="0"/>
              </w:rPr>
              <w:t>Ciemno</w:t>
            </w:r>
            <w:proofErr w:type="spellEnd"/>
            <w:r>
              <w:rPr>
                <w:b w:val="0"/>
              </w:rPr>
              <w:t>-</w:t>
            </w:r>
          </w:p>
          <w:p w:rsidR="002A3A96" w:rsidRDefault="002A3A96" w:rsidP="007015AD">
            <w:pPr>
              <w:pStyle w:val="Nagwek6"/>
              <w:snapToGrid w:val="0"/>
              <w:spacing w:before="120" w:after="120"/>
              <w:jc w:val="both"/>
              <w:rPr>
                <w:b w:val="0"/>
              </w:rPr>
            </w:pPr>
            <w:proofErr w:type="spellStart"/>
            <w:r>
              <w:rPr>
                <w:b w:val="0"/>
              </w:rPr>
              <w:t>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Pr="00F81992" w:rsidRDefault="002A3A96" w:rsidP="002A3A96">
      <w:pPr>
        <w:keepNext/>
        <w:spacing w:before="120" w:after="120"/>
        <w:jc w:val="both"/>
        <w:rPr>
          <w:rFonts w:ascii="Times New Roman" w:hAnsi="Times New Roman" w:cs="Times New Roman"/>
          <w:sz w:val="22"/>
          <w:szCs w:val="22"/>
        </w:rPr>
      </w:pPr>
      <w:proofErr w:type="spellStart"/>
      <w:r w:rsidRPr="00F81992">
        <w:rPr>
          <w:rFonts w:ascii="Times New Roman" w:hAnsi="Times New Roman" w:cs="Times New Roman"/>
          <w:sz w:val="22"/>
          <w:szCs w:val="22"/>
        </w:rPr>
        <w:t>Tablica</w:t>
      </w:r>
      <w:proofErr w:type="spellEnd"/>
      <w:r w:rsidRPr="00F81992">
        <w:rPr>
          <w:rFonts w:ascii="Times New Roman" w:hAnsi="Times New Roman" w:cs="Times New Roman"/>
          <w:sz w:val="22"/>
          <w:szCs w:val="22"/>
        </w:rPr>
        <w:t xml:space="preserve"> 6 . </w:t>
      </w:r>
      <w:proofErr w:type="spellStart"/>
      <w:r w:rsidRPr="00F81992">
        <w:rPr>
          <w:rFonts w:ascii="Times New Roman" w:hAnsi="Times New Roman" w:cs="Times New Roman"/>
          <w:sz w:val="22"/>
          <w:szCs w:val="22"/>
        </w:rPr>
        <w:t>Równomierność</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5.9. Warunki dla oprawy oświetleniowej znaku podświetlanego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Oprawa wbudowana w znak powinna spełniać następujące wymagania:</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sposób połączeń lica znaku z tarczą znaku w formie komory, w którą wbudowana jest oprawa, powinien zapewnić stopień IP-53 ochrony od wpływu czynników zewnętrznych wg [18],</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komora statecznika powinna zapewnić co najmniej stopień ochrony IP-23 wg [18],</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 oznaczeniu musi być podany rok produkcji.</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5.10. Warunki dla oprawy oświetleniowej znaku oświetlanego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Oprawa oświetleniowa powinna spełniać ponadto następujące wymagania :</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dla opraw zawieszanych na wysokości poniżej 2,5 m klosz oprawy powinien być wykonany z materiałów odpornych na uszkodzenia mechaniczne,</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 oznaczeniu oprawy musi być podany rok produkcji.</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5.11. Oznakowanie znaku</w:t>
      </w:r>
    </w:p>
    <w:p w:rsidR="002A3A96" w:rsidRPr="00F81992" w:rsidRDefault="002A3A96" w:rsidP="002A3A96">
      <w:pPr>
        <w:pStyle w:val="Nagwek"/>
        <w:tabs>
          <w:tab w:val="left" w:pos="708"/>
        </w:tabs>
        <w:jc w:val="both"/>
        <w:rPr>
          <w:rFonts w:ascii="Times New Roman" w:hAnsi="Times New Roman" w:cs="Times New Roman"/>
          <w:sz w:val="22"/>
          <w:szCs w:val="22"/>
        </w:rPr>
      </w:pPr>
      <w:r w:rsidRPr="00F81992">
        <w:rPr>
          <w:rFonts w:ascii="Times New Roman" w:hAnsi="Times New Roman" w:cs="Times New Roman"/>
          <w:sz w:val="22"/>
          <w:szCs w:val="22"/>
        </w:rPr>
        <w:tab/>
        <w:t>Każdy wykonany znak drogowy musi mieć naklejoną na rewersie naklejkę zawierającą następujące informacje:</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rPr>
      </w:pPr>
      <w:r w:rsidRPr="00F81992">
        <w:rPr>
          <w:rFonts w:ascii="Times New Roman" w:hAnsi="Times New Roman" w:cs="Times New Roman"/>
          <w:sz w:val="22"/>
          <w:szCs w:val="22"/>
          <w:lang w:val="pl-PL"/>
        </w:rPr>
        <w:t xml:space="preserve">numer i datę normy tj. </w:t>
      </w:r>
      <w:r w:rsidRPr="00F81992">
        <w:rPr>
          <w:rFonts w:ascii="Times New Roman" w:hAnsi="Times New Roman" w:cs="Times New Roman"/>
          <w:sz w:val="22"/>
          <w:szCs w:val="22"/>
        </w:rPr>
        <w:t>PN-EN 12899-1:2005 [16],</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klasy</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istotnych</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właściwości</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wyrobu</w:t>
      </w:r>
      <w:proofErr w:type="spellEnd"/>
      <w:r w:rsidRPr="00F81992">
        <w:rPr>
          <w:rFonts w:ascii="Times New Roman" w:hAnsi="Times New Roman" w:cs="Times New Roman"/>
          <w:sz w:val="22"/>
          <w:szCs w:val="22"/>
        </w:rPr>
        <w:t>,</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miesiąc i dwie ostatnie cyfry roku produkcji</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nazwę, znak handlowy i inne oznaczenia identyfikujące producenta lub dostawcę jeśli nie jest producentem,</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znak</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budowlany</w:t>
      </w:r>
      <w:proofErr w:type="spellEnd"/>
      <w:r w:rsidRPr="00F81992">
        <w:rPr>
          <w:rFonts w:ascii="Times New Roman" w:hAnsi="Times New Roman" w:cs="Times New Roman"/>
          <w:sz w:val="22"/>
          <w:szCs w:val="22"/>
        </w:rPr>
        <w:t xml:space="preserve"> „B”,</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numer</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aprobaty</w:t>
      </w:r>
      <w:proofErr w:type="spellEnd"/>
      <w:r w:rsidRPr="00F81992">
        <w:rPr>
          <w:rFonts w:ascii="Times New Roman" w:hAnsi="Times New Roman" w:cs="Times New Roman"/>
          <w:sz w:val="22"/>
          <w:szCs w:val="22"/>
        </w:rPr>
        <w:t xml:space="preserve"> technicznej </w:t>
      </w:r>
      <w:proofErr w:type="spellStart"/>
      <w:r w:rsidRPr="00F81992">
        <w:rPr>
          <w:rFonts w:ascii="Times New Roman" w:hAnsi="Times New Roman" w:cs="Times New Roman"/>
          <w:sz w:val="22"/>
          <w:szCs w:val="22"/>
        </w:rPr>
        <w:t>IBDiM</w:t>
      </w:r>
      <w:proofErr w:type="spellEnd"/>
      <w:r w:rsidRPr="00F81992">
        <w:rPr>
          <w:rFonts w:ascii="Times New Roman" w:hAnsi="Times New Roman" w:cs="Times New Roman"/>
          <w:sz w:val="22"/>
          <w:szCs w:val="22"/>
        </w:rPr>
        <w:t>,</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numer certyfikatu zgodności i numer jednostki certyfikującej.</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Oznakowania powinny być wykonane w sposób trwały i wyraźny, czytelny z normalnej odległości widzenia, a całkowita powierzchnia naklejki nie była większa niż 30 cm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 Czytelność i trwałość cechy na tylnej stronie tarczy znaku nie powinna być niższa od wymaganej trwałości znaku. Naklejkę należy wykonać z folii </w:t>
      </w:r>
      <w:proofErr w:type="spellStart"/>
      <w:r w:rsidRPr="00F81992">
        <w:rPr>
          <w:rFonts w:ascii="Times New Roman" w:hAnsi="Times New Roman" w:cs="Times New Roman"/>
          <w:sz w:val="22"/>
          <w:szCs w:val="22"/>
          <w:lang w:val="pl-PL"/>
        </w:rPr>
        <w:t>nieodblaskowej</w:t>
      </w:r>
      <w:proofErr w:type="spellEnd"/>
      <w:r w:rsidRPr="00F81992">
        <w:rPr>
          <w:rFonts w:ascii="Times New Roman" w:hAnsi="Times New Roman" w:cs="Times New Roman"/>
          <w:sz w:val="22"/>
          <w:szCs w:val="22"/>
          <w:lang w:val="pl-PL"/>
        </w:rPr>
        <w:t>.</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6. kontrola jakości robót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6.1. Ogólne zasady kontroli jakości robót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Ogólne zasady kontroli jakości robót podano w SST D-M-00.00.00 „Wymagania ogólne” pkt 6.</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6.2. Badania materiałów do wykonania fundamentów betonowych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6.3. Badania w czasie wykonywania robót</w:t>
      </w:r>
    </w:p>
    <w:p w:rsidR="002A3A96" w:rsidRPr="00F81992" w:rsidRDefault="002A3A96" w:rsidP="002A3A96">
      <w:pPr>
        <w:pStyle w:val="StylIwony"/>
        <w:spacing w:before="0" w:after="0"/>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6.3.1. </w:t>
      </w:r>
      <w:r w:rsidRPr="00F81992">
        <w:rPr>
          <w:rFonts w:ascii="Times New Roman" w:hAnsi="Times New Roman" w:cs="Times New Roman"/>
          <w:sz w:val="22"/>
          <w:szCs w:val="22"/>
          <w:lang w:val="pl-PL"/>
        </w:rPr>
        <w:t>Badania materiałów w czasie wykonywania robót</w:t>
      </w:r>
    </w:p>
    <w:p w:rsidR="002A3A96" w:rsidRPr="00F81992" w:rsidRDefault="002A3A96" w:rsidP="002A3A96">
      <w:pPr>
        <w:pStyle w:val="StylIwony"/>
        <w:spacing w:after="0"/>
        <w:rPr>
          <w:rFonts w:ascii="Times New Roman" w:hAnsi="Times New Roman" w:cs="Times New Roman"/>
          <w:sz w:val="22"/>
          <w:szCs w:val="22"/>
          <w:lang w:val="pl-PL"/>
        </w:rPr>
      </w:pPr>
      <w:r w:rsidRPr="00F81992">
        <w:rPr>
          <w:rFonts w:ascii="Times New Roman" w:hAnsi="Times New Roman" w:cs="Times New Roman"/>
          <w:sz w:val="22"/>
          <w:szCs w:val="22"/>
          <w:lang w:val="pl-PL"/>
        </w:rPr>
        <w:tab/>
        <w:t>Wszystkie materiały dostarczone na budowę powinny być sprawdzone w zakresie powierzchni wyrobu i jego wymiarów.</w:t>
      </w:r>
    </w:p>
    <w:p w:rsidR="002A3A96" w:rsidRPr="00F81992" w:rsidRDefault="002A3A96" w:rsidP="002A3A96">
      <w:pPr>
        <w:pStyle w:val="StylIwony"/>
        <w:spacing w:before="0" w:after="0"/>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Częstotliwość badań i ocena ich wyników powinna być zgodna z ustaleniami zawartymi w tablicy 7.</w:t>
      </w:r>
    </w:p>
    <w:p w:rsidR="002A3A96" w:rsidRPr="00F81992" w:rsidRDefault="002A3A96" w:rsidP="002A3A96">
      <w:pPr>
        <w:pStyle w:val="StylIwony"/>
        <w:keepNext/>
        <w:ind w:left="851" w:hanging="851"/>
        <w:rPr>
          <w:rFonts w:ascii="Times New Roman" w:hAnsi="Times New Roman" w:cs="Times New Roman"/>
          <w:bCs/>
          <w:sz w:val="22"/>
          <w:szCs w:val="22"/>
          <w:lang w:val="pl-PL"/>
        </w:rPr>
      </w:pPr>
      <w:r w:rsidRPr="00F81992">
        <w:rPr>
          <w:rFonts w:ascii="Times New Roman" w:hAnsi="Times New Roman" w:cs="Times New Roman"/>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Pr="00F81992" w:rsidRDefault="002A3A96" w:rsidP="002A3A96">
      <w:pPr>
        <w:pStyle w:val="StylIwony"/>
        <w:spacing w:before="0" w:after="0"/>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W przypadkach budzących wątpliwości można zlecić uprawnionej jednostce zbadanie właściwości dostarczonych wyrobów i materiałów w zakresie wymagań podanych w punkcie 2. </w:t>
      </w:r>
    </w:p>
    <w:p w:rsidR="002A3A96" w:rsidRPr="00F81992" w:rsidRDefault="002A3A96" w:rsidP="002A3A96">
      <w:pPr>
        <w:pStyle w:val="StylIwony"/>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6.3.2. </w:t>
      </w:r>
      <w:r w:rsidRPr="00F81992">
        <w:rPr>
          <w:rFonts w:ascii="Times New Roman" w:hAnsi="Times New Roman" w:cs="Times New Roman"/>
          <w:sz w:val="22"/>
          <w:szCs w:val="22"/>
          <w:lang w:val="pl-PL"/>
        </w:rPr>
        <w:t>Kontrola w czasie wykonywania robót</w:t>
      </w:r>
    </w:p>
    <w:p w:rsidR="002A3A96" w:rsidRPr="00F81992" w:rsidRDefault="002A3A96" w:rsidP="002A3A96">
      <w:pPr>
        <w:pStyle w:val="StylIwony"/>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ab/>
        <w:t>W czasie wykonywania robót należy sprawdzać:</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zgodność wykonania znaków pionowych z dokumentacją projektową (lokalizacja, wymiary znaków, wysokość zamocowania znaków),</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zachowanie dopuszczalnych odchyłek wymiarów, zgodnie z punktem 2 i 5,</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prawidłowość wykonania wykopów pod konstrukcje wsporcze, zgodnie z punktem 5.3,</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poprawność wykonania fundamentów pod słupki zgodnie z punktem 5.3,</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poprawność ustawienia słupków i konstrukcji wsporczych, zgodnie z punktem 5.4 i 5.5,</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zgodność rodzaju i grubości blachy ze specyfikacją.</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7. OBMIAR ROBÓT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7.1. Ogólne zasady obmiaru robót</w:t>
      </w:r>
    </w:p>
    <w:p w:rsidR="002A3A96" w:rsidRPr="00F81992" w:rsidRDefault="002A3A96" w:rsidP="002A3A96">
      <w:pPr>
        <w:pStyle w:val="StylIwony"/>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ab/>
        <w:t>Ogólne zasady obmiaru robót podano w SST D-M-00.00.00 „Wymagania ogólne” pkt 7.</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7.2. Jednostka obmiarowa</w:t>
      </w:r>
    </w:p>
    <w:p w:rsidR="002A3A96" w:rsidRPr="00F81992" w:rsidRDefault="002A3A96" w:rsidP="002A3A96">
      <w:pPr>
        <w:pStyle w:val="StylIwony"/>
        <w:spacing w:before="0" w:after="0"/>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Jednostkami obmiarowymi są:</w:t>
      </w:r>
    </w:p>
    <w:p w:rsidR="002A3A96" w:rsidRPr="00F81992" w:rsidRDefault="002A3A96" w:rsidP="002A3A96">
      <w:pPr>
        <w:pStyle w:val="StylIwony"/>
        <w:numPr>
          <w:ilvl w:val="0"/>
          <w:numId w:val="14"/>
        </w:numPr>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szt. (sztuka), dla znaków drogowych konwencjonalnych oraz konstrukcji wsporczych,</w:t>
      </w:r>
    </w:p>
    <w:p w:rsidR="002A3A96" w:rsidRPr="00F81992" w:rsidRDefault="002A3A96" w:rsidP="002A3A96">
      <w:pPr>
        <w:pStyle w:val="StylIwony"/>
        <w:numPr>
          <w:ilvl w:val="0"/>
          <w:numId w:val="14"/>
        </w:numPr>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(metr kwadratowy) powierzchni tablic dla znaków pozostałych.</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8. ODBIÓR ROBÓT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8.1. Ogólne zasady odbioru robót</w:t>
      </w:r>
    </w:p>
    <w:p w:rsidR="002A3A96" w:rsidRPr="00F81992" w:rsidRDefault="002A3A96" w:rsidP="002A3A96">
      <w:pPr>
        <w:pStyle w:val="StylIwony"/>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ab/>
        <w:t>Ogólne zasady odbioru robót podano w SST D-M-00.00.00 „Wymagania ogólne” pkt 8.</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Roboty uznaje się za wykonane zgodnie z dokumentacją projektową, SST i wymaganiami Inżyniera, jeżeli wszystkie pomiary i badania z zachowaniem tolerancji wg pkt 6, dały wyniki pozytywne.</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8.2. Odbiór ostateczny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Odbiór robót oznakowania pionowego dokonywany jest na zasadzie odbioru ostatecznego.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Odbiór ostateczny powinien być dokonany po całkowitym zakończeniu robót, na podstawie wyników pomiarów i badań jakościowych określonych w punktach 2 i 5.</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8.3. Odbiór pogwarancyjny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Odbiór pogwarancyjny należy przeprowadzić w ciągu 1 miesiąca po upływie okresu gwarancyjnego, ustalonego w SST.</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9. podstawa płatności</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9.1. Ogólne ustalenia dotyczące podstawy płatności</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Ogólne ustalenia dotyczące podstawy płatności podano w SST D-M-00.00.00 „Wymagania ogólne” pkt 9.</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9.2. Cena jednostki obmiarowej</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Cena wykonania jednostki obmiarowej oznakowania pionowego obejmuje:</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prace pomiarowe i roboty przygotowawcze,</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wykonanie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fundamentów</w:t>
      </w:r>
      <w:proofErr w:type="spellEnd"/>
      <w:r w:rsidRPr="00F81992">
        <w:rPr>
          <w:rFonts w:ascii="Times New Roman" w:hAnsi="Times New Roman" w:cs="Times New Roman"/>
          <w:sz w:val="22"/>
          <w:szCs w:val="22"/>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dostarczenie i ustawienie konstrukcji wsporczych,</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zamocowanie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tarcz</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znaków</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drogowych</w:t>
      </w:r>
      <w:proofErr w:type="spellEnd"/>
      <w:r w:rsidRPr="00F81992">
        <w:rPr>
          <w:rFonts w:ascii="Times New Roman" w:hAnsi="Times New Roman" w:cs="Times New Roman"/>
          <w:sz w:val="22"/>
          <w:szCs w:val="22"/>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przeprowadzenie pomiarów i badań wymaganych w SST.</w:t>
      </w:r>
    </w:p>
    <w:p w:rsidR="002A3A96" w:rsidRPr="00F81992" w:rsidRDefault="002A3A96" w:rsidP="002A3A96">
      <w:pPr>
        <w:pStyle w:val="Nagwek1"/>
        <w:jc w:val="both"/>
        <w:rPr>
          <w:rFonts w:ascii="Times New Roman" w:hAnsi="Times New Roman" w:cs="Times New Roman"/>
          <w:sz w:val="22"/>
          <w:szCs w:val="22"/>
        </w:rPr>
      </w:pPr>
      <w:r w:rsidRPr="00F81992">
        <w:rPr>
          <w:rFonts w:ascii="Times New Roman" w:hAnsi="Times New Roman" w:cs="Times New Roman"/>
          <w:sz w:val="22"/>
          <w:szCs w:val="22"/>
        </w:rPr>
        <w:t xml:space="preserve">10. NORMY I </w:t>
      </w:r>
      <w:proofErr w:type="spellStart"/>
      <w:r w:rsidRPr="00F81992">
        <w:rPr>
          <w:rFonts w:ascii="Times New Roman" w:hAnsi="Times New Roman" w:cs="Times New Roman"/>
          <w:sz w:val="22"/>
          <w:szCs w:val="22"/>
        </w:rPr>
        <w:t>przepisy</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związane</w:t>
      </w:r>
      <w:proofErr w:type="spellEnd"/>
    </w:p>
    <w:p w:rsidR="002A3A96" w:rsidRPr="00F81992" w:rsidRDefault="002A3A96" w:rsidP="002A3A96">
      <w:pPr>
        <w:pStyle w:val="Nagwek2"/>
        <w:jc w:val="both"/>
        <w:rPr>
          <w:rFonts w:ascii="Times New Roman" w:hAnsi="Times New Roman" w:cs="Times New Roman"/>
          <w:sz w:val="22"/>
          <w:szCs w:val="22"/>
        </w:rPr>
      </w:pPr>
      <w:r w:rsidRPr="00F81992">
        <w:rPr>
          <w:rFonts w:ascii="Times New Roman" w:hAnsi="Times New Roman" w:cs="Times New Roman"/>
          <w:sz w:val="22"/>
          <w:szCs w:val="22"/>
        </w:rPr>
        <w:t xml:space="preserve">10.1. </w:t>
      </w:r>
      <w:proofErr w:type="spellStart"/>
      <w:r w:rsidRPr="00F81992">
        <w:rPr>
          <w:rFonts w:ascii="Times New Roman" w:hAnsi="Times New Roman" w:cs="Times New Roman"/>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022E0E"/>
    <w:rsid w:val="001D21ED"/>
    <w:rsid w:val="00226DDE"/>
    <w:rsid w:val="002A3A96"/>
    <w:rsid w:val="00364E3A"/>
    <w:rsid w:val="00553AA1"/>
    <w:rsid w:val="005F565F"/>
    <w:rsid w:val="00653B39"/>
    <w:rsid w:val="00886F8E"/>
    <w:rsid w:val="00DF589C"/>
    <w:rsid w:val="00E871BA"/>
    <w:rsid w:val="00F21874"/>
    <w:rsid w:val="00F819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 w:id="200370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6915</Words>
  <Characters>41496</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14</cp:revision>
  <dcterms:created xsi:type="dcterms:W3CDTF">2016-04-04T08:52:00Z</dcterms:created>
  <dcterms:modified xsi:type="dcterms:W3CDTF">2017-10-09T07:42:00Z</dcterms:modified>
</cp:coreProperties>
</file>